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8B8F3" w14:textId="430B842A" w:rsidR="004320C3" w:rsidRPr="009A4537" w:rsidRDefault="004320C3" w:rsidP="009A4537">
      <w:pPr>
        <w:spacing w:line="276" w:lineRule="auto"/>
        <w:jc w:val="center"/>
        <w:rPr>
          <w:rFonts w:ascii="Bookman Old Style" w:hAnsi="Bookman Old Style"/>
        </w:rPr>
      </w:pPr>
      <w:r w:rsidRPr="009A4537">
        <w:rPr>
          <w:rFonts w:ascii="Bookman Old Style" w:hAnsi="Bookman Old Style"/>
        </w:rPr>
        <w:t>REPUBLIQUE DU NIGER</w:t>
      </w:r>
    </w:p>
    <w:p w14:paraId="78BC0DBA" w14:textId="77777777" w:rsidR="00FC0A5F" w:rsidRPr="009A4537" w:rsidRDefault="001B451F" w:rsidP="009A4537">
      <w:pPr>
        <w:spacing w:line="276" w:lineRule="auto"/>
        <w:jc w:val="center"/>
        <w:rPr>
          <w:rFonts w:ascii="Bookman Old Style" w:hAnsi="Bookman Old Style"/>
        </w:rPr>
      </w:pPr>
      <w:r w:rsidRPr="009A4537">
        <w:rPr>
          <w:rFonts w:ascii="Bookman Old Style" w:hAnsi="Bookman Old Style"/>
          <w:noProof/>
        </w:rPr>
        <mc:AlternateContent>
          <mc:Choice Requires="wps">
            <w:drawing>
              <wp:anchor distT="4294967291" distB="4294967291" distL="114300" distR="114300" simplePos="0" relativeHeight="251657728" behindDoc="0" locked="0" layoutInCell="1" allowOverlap="1" wp14:anchorId="3CD73858" wp14:editId="279966E8">
                <wp:simplePos x="0" y="0"/>
                <wp:positionH relativeFrom="column">
                  <wp:posOffset>139700</wp:posOffset>
                </wp:positionH>
                <wp:positionV relativeFrom="paragraph">
                  <wp:posOffset>73659</wp:posOffset>
                </wp:positionV>
                <wp:extent cx="6076950" cy="0"/>
                <wp:effectExtent l="0" t="1905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0800" cmpd="dbl">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7A58" id="Line 2"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pt,5.8pt" to="48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9FGgIAADQEAAAOAAAAZHJzL2Uyb0RvYy54bWysU8GO2jAQvVfqP1i+QxIKbIgIqyqBXmiL&#10;tNsPMLZDrDq2ZRsCqvrvHRuClvZSVb0443jm+c285+XzuZPoxK0TWpU4G6cYcUU1E+pQ4m+vm1GO&#10;kfNEMSK14iW+cIefV+/fLXtT8IlutWTcIgBRruhNiVvvTZEkjra8I26sDVdw2GjbEQ9be0iYJT2g&#10;dzKZpOk86bVlxmrKnYO/9fUQryJ+03DqvzaN4x7JEgM3H1cb131Yk9WSFAdLTCvojQb5BxYdEQou&#10;vUPVxBN0tOIPqE5Qq51u/JjqLtFNIyiPPUA3WfpbNy8tMTz2AsNx5j4m9/9g6ZfTziLBSjzBSJEO&#10;JNoKxdEkTKY3roCESu1s6I2e1YvZavrdIaWrlqgDjwxfLwbKslCRPJSEjTOAv+8/awY55Oh1HNO5&#10;sV2AhAGgc1TjcleDnz2i8HOePs0XMxCNDmcJKYZCY53/xHWHQlBiCZwjMDltnQ9ESDGkhHuU3ggp&#10;o9hSob7EszRPA3RnoHW2l7HYaSlYSAwlzh72lbToRMA6OaTn0S0A/JBm9VGxCNxywta32BMhrzHk&#10;SxXwoC2gdouu3vixSBfrfJ1PR9PJfD2apnU9+rippqP5Jnua1R/qqqqzn4FaNi1awRhXgd3g02z6&#10;dz64vZirw+5OvY8keUSPswOywzeSjroGKa+m2Gt22dlBb7BmTL49o+D9t3uI3z721S8AAAD//wMA&#10;UEsDBBQABgAIAAAAIQD+7Wpd3gAAAAgBAAAPAAAAZHJzL2Rvd25yZXYueG1sTI/BTsMwEETvSPyD&#10;tUhcKuo0SIamcSqE1AMIoZL2A5x4m0SN11HstoGvZxEHOO6b0exMvp5cL844hs6ThsU8AYFUe9tR&#10;o2G/29w9ggjRkDW9J9TwiQHWxfVVbjLrL/SB5zI2gkMoZEZDG+OQSRnqFp0Jcz8gsXbwozORz7GR&#10;djQXDne9TJNESWc64g+tGfC5xfpYnpyGSu32m/eDun9JZtu3WVm/ui+ltL69mZ5WICJO8c8MP/W5&#10;OhTcqfInskH0GtKUp0TmCwWC9eXDkkH1C2SRy/8Dim8AAAD//wMAUEsBAi0AFAAGAAgAAAAhALaD&#10;OJL+AAAA4QEAABMAAAAAAAAAAAAAAAAAAAAAAFtDb250ZW50X1R5cGVzXS54bWxQSwECLQAUAAYA&#10;CAAAACEAOP0h/9YAAACUAQAACwAAAAAAAAAAAAAAAAAvAQAAX3JlbHMvLnJlbHNQSwECLQAUAAYA&#10;CAAAACEA7nOfRRoCAAA0BAAADgAAAAAAAAAAAAAAAAAuAgAAZHJzL2Uyb0RvYy54bWxQSwECLQAU&#10;AAYACAAAACEA/u1qXd4AAAAIAQAADwAAAAAAAAAAAAAAAAB0BAAAZHJzL2Rvd25yZXYueG1sUEsF&#10;BgAAAAAEAAQA8wAAAH8FAAAAAA==&#10;" strokecolor="gray" strokeweight="4pt">
                <v:stroke linestyle="thinThin"/>
              </v:line>
            </w:pict>
          </mc:Fallback>
        </mc:AlternateContent>
      </w:r>
      <w:r w:rsidR="004320C3" w:rsidRPr="009A4537">
        <w:rPr>
          <w:rFonts w:ascii="Bookman Old Style" w:hAnsi="Bookman Old Style"/>
        </w:rPr>
        <w:br w:type="textWrapping" w:clear="all"/>
      </w:r>
    </w:p>
    <w:p w14:paraId="61679566" w14:textId="2BDA0FA8" w:rsidR="004320C3" w:rsidRPr="009A4537" w:rsidRDefault="004320C3" w:rsidP="009A4537">
      <w:pPr>
        <w:spacing w:line="276" w:lineRule="auto"/>
        <w:jc w:val="center"/>
        <w:rPr>
          <w:rFonts w:ascii="Bookman Old Style" w:hAnsi="Bookman Old Style"/>
        </w:rPr>
      </w:pPr>
      <w:r w:rsidRPr="009A4537">
        <w:rPr>
          <w:rFonts w:ascii="Bookman Old Style" w:hAnsi="Bookman Old Style"/>
        </w:rPr>
        <w:t>MINISTERE DE L’AGRICULTURE</w:t>
      </w:r>
    </w:p>
    <w:p w14:paraId="5DDB5B92" w14:textId="77777777" w:rsidR="00FC0A5F" w:rsidRPr="009A4537" w:rsidRDefault="00FC0A5F" w:rsidP="009A4537">
      <w:pPr>
        <w:spacing w:line="276" w:lineRule="auto"/>
        <w:jc w:val="center"/>
        <w:rPr>
          <w:rFonts w:ascii="Bookman Old Style" w:hAnsi="Bookman Old Style"/>
        </w:rPr>
      </w:pPr>
    </w:p>
    <w:p w14:paraId="4354D0FF" w14:textId="77777777" w:rsidR="004320C3" w:rsidRPr="009A4537" w:rsidRDefault="00E1058C" w:rsidP="009A4537">
      <w:pPr>
        <w:spacing w:line="276" w:lineRule="auto"/>
        <w:jc w:val="center"/>
        <w:rPr>
          <w:rFonts w:ascii="Bookman Old Style" w:hAnsi="Bookman Old Style"/>
        </w:rPr>
      </w:pPr>
      <w:r w:rsidRPr="009A4537">
        <w:rPr>
          <w:rFonts w:ascii="Bookman Old Style" w:hAnsi="Bookman Old Style"/>
          <w:noProof/>
        </w:rPr>
        <w:drawing>
          <wp:inline distT="0" distB="0" distL="0" distR="0" wp14:anchorId="430D8B14" wp14:editId="799D4BF7">
            <wp:extent cx="1257300" cy="428625"/>
            <wp:effectExtent l="19050" t="19050" r="19050" b="28575"/>
            <wp:docPr id="1" name="Image 306" descr="C:\Users\user\Pictures\LOGOS\Logo Prog Niger F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descr="C:\Users\user\Pictures\LOGOS\Logo Prog Niger FIDA.jpg"/>
                    <pic:cNvPicPr>
                      <a:picLocks noChangeAspect="1" noChangeArrowheads="1"/>
                    </pic:cNvPicPr>
                  </pic:nvPicPr>
                  <pic:blipFill>
                    <a:blip r:embed="rId8"/>
                    <a:srcRect/>
                    <a:stretch>
                      <a:fillRect/>
                    </a:stretch>
                  </pic:blipFill>
                  <pic:spPr bwMode="auto">
                    <a:xfrm>
                      <a:off x="0" y="0"/>
                      <a:ext cx="1257300" cy="428625"/>
                    </a:xfrm>
                    <a:prstGeom prst="rect">
                      <a:avLst/>
                    </a:prstGeom>
                    <a:noFill/>
                    <a:ln w="9525" cmpd="sng">
                      <a:solidFill>
                        <a:srgbClr val="FFFFFF"/>
                      </a:solidFill>
                      <a:miter lim="800000"/>
                      <a:headEnd/>
                      <a:tailEnd/>
                    </a:ln>
                    <a:effectLst/>
                  </pic:spPr>
                </pic:pic>
              </a:graphicData>
            </a:graphic>
          </wp:inline>
        </w:drawing>
      </w:r>
    </w:p>
    <w:p w14:paraId="27E2A220" w14:textId="77777777" w:rsidR="004320C3" w:rsidRPr="009A4537" w:rsidRDefault="004320C3" w:rsidP="009A4537">
      <w:pPr>
        <w:spacing w:line="276" w:lineRule="auto"/>
        <w:jc w:val="center"/>
        <w:rPr>
          <w:rFonts w:ascii="Bookman Old Style" w:hAnsi="Bookman Old Style"/>
        </w:rPr>
      </w:pPr>
      <w:r w:rsidRPr="009A4537">
        <w:rPr>
          <w:rFonts w:ascii="Bookman Old Style" w:hAnsi="Bookman Old Style"/>
        </w:rPr>
        <w:t>-------------------------------------------------------------------------</w:t>
      </w:r>
    </w:p>
    <w:p w14:paraId="0E51B843" w14:textId="77777777" w:rsidR="004320C3" w:rsidRPr="009A4537" w:rsidRDefault="004320C3" w:rsidP="009A4537">
      <w:pPr>
        <w:spacing w:line="276" w:lineRule="auto"/>
        <w:jc w:val="center"/>
        <w:rPr>
          <w:rFonts w:ascii="Bookman Old Style" w:hAnsi="Bookman Old Style"/>
        </w:rPr>
      </w:pPr>
      <w:r w:rsidRPr="009A4537">
        <w:rPr>
          <w:rFonts w:ascii="Bookman Old Style" w:hAnsi="Bookman Old Style"/>
        </w:rPr>
        <w:t>Programme de Développement de l’Agriculture Familiale (P</w:t>
      </w:r>
      <w:r w:rsidR="00CF2316" w:rsidRPr="009A4537">
        <w:rPr>
          <w:rFonts w:ascii="Bookman Old Style" w:hAnsi="Bookman Old Style"/>
        </w:rPr>
        <w:t>ro</w:t>
      </w:r>
      <w:r w:rsidRPr="009A4537">
        <w:rPr>
          <w:rFonts w:ascii="Bookman Old Style" w:hAnsi="Bookman Old Style"/>
        </w:rPr>
        <w:t>DAF)</w:t>
      </w:r>
    </w:p>
    <w:p w14:paraId="70169271" w14:textId="1196EA31" w:rsidR="004320C3" w:rsidRPr="009A4537" w:rsidRDefault="003E39CF" w:rsidP="009A4537">
      <w:pPr>
        <w:spacing w:line="276" w:lineRule="auto"/>
        <w:jc w:val="center"/>
        <w:rPr>
          <w:rFonts w:ascii="Bookman Old Style" w:hAnsi="Bookman Old Style"/>
        </w:rPr>
      </w:pPr>
      <w:r w:rsidRPr="009A4537">
        <w:rPr>
          <w:rFonts w:ascii="Bookman Old Style" w:hAnsi="Bookman Old Style"/>
        </w:rPr>
        <w:t xml:space="preserve">Cellule Nationale </w:t>
      </w:r>
      <w:r w:rsidR="000B4CC4" w:rsidRPr="009A4537">
        <w:rPr>
          <w:rFonts w:ascii="Bookman Old Style" w:hAnsi="Bookman Old Style"/>
        </w:rPr>
        <w:t xml:space="preserve">de Représentation et </w:t>
      </w:r>
      <w:r w:rsidRPr="009A4537">
        <w:rPr>
          <w:rFonts w:ascii="Bookman Old Style" w:hAnsi="Bookman Old Style"/>
        </w:rPr>
        <w:t>d'Assistance Technique (CEN</w:t>
      </w:r>
      <w:r w:rsidR="000B4CC4" w:rsidRPr="009A4537">
        <w:rPr>
          <w:rFonts w:ascii="Bookman Old Style" w:hAnsi="Bookman Old Style"/>
        </w:rPr>
        <w:t>R</w:t>
      </w:r>
      <w:r w:rsidRPr="009A4537">
        <w:rPr>
          <w:rFonts w:ascii="Bookman Old Style" w:hAnsi="Bookman Old Style"/>
        </w:rPr>
        <w:t>AT)</w:t>
      </w:r>
    </w:p>
    <w:p w14:paraId="2CFCEA6B" w14:textId="77777777" w:rsidR="004320C3" w:rsidRPr="009A4537" w:rsidRDefault="004320C3" w:rsidP="009A4537">
      <w:pPr>
        <w:spacing w:line="276" w:lineRule="auto"/>
        <w:jc w:val="center"/>
        <w:rPr>
          <w:rFonts w:ascii="Bookman Old Style" w:hAnsi="Bookman Old Style"/>
          <w:bCs/>
          <w:caps/>
        </w:rPr>
      </w:pPr>
      <w:r w:rsidRPr="009A4537">
        <w:rPr>
          <w:rFonts w:ascii="Bookman Old Style" w:hAnsi="Bookman Old Style"/>
        </w:rPr>
        <w:t>_________________________</w:t>
      </w:r>
    </w:p>
    <w:p w14:paraId="7DB9DDF7" w14:textId="77777777" w:rsidR="00D16800" w:rsidRPr="009A4537" w:rsidRDefault="00D16800" w:rsidP="009A4537">
      <w:pPr>
        <w:spacing w:line="276" w:lineRule="auto"/>
        <w:jc w:val="center"/>
        <w:rPr>
          <w:rFonts w:ascii="Bookman Old Style" w:hAnsi="Bookman Old Style"/>
          <w:b/>
          <w:bCs/>
        </w:rPr>
      </w:pPr>
    </w:p>
    <w:p w14:paraId="5E85376D" w14:textId="77777777" w:rsidR="004320C3" w:rsidRPr="009A4537" w:rsidRDefault="004320C3" w:rsidP="009A4537">
      <w:pPr>
        <w:spacing w:line="276" w:lineRule="auto"/>
        <w:jc w:val="center"/>
        <w:rPr>
          <w:rFonts w:ascii="Bookman Old Style" w:hAnsi="Bookman Old Style"/>
          <w:b/>
          <w:bCs/>
        </w:rPr>
      </w:pPr>
    </w:p>
    <w:p w14:paraId="37AC439D" w14:textId="77777777" w:rsidR="004320C3" w:rsidRPr="009A4537" w:rsidRDefault="004320C3" w:rsidP="009A4537">
      <w:pPr>
        <w:spacing w:line="276" w:lineRule="auto"/>
        <w:jc w:val="center"/>
        <w:rPr>
          <w:rFonts w:ascii="Bookman Old Style" w:hAnsi="Bookman Old Style"/>
          <w:b/>
          <w:bCs/>
        </w:rPr>
      </w:pPr>
    </w:p>
    <w:p w14:paraId="66AAB0E7" w14:textId="77777777" w:rsidR="004320C3" w:rsidRPr="009A4537" w:rsidRDefault="004320C3" w:rsidP="009A4537">
      <w:pPr>
        <w:spacing w:line="276" w:lineRule="auto"/>
        <w:jc w:val="center"/>
        <w:rPr>
          <w:rFonts w:ascii="Bookman Old Style" w:hAnsi="Bookman Old Style"/>
          <w:b/>
          <w:bCs/>
        </w:rPr>
      </w:pPr>
    </w:p>
    <w:p w14:paraId="3D518A13" w14:textId="77777777" w:rsidR="004320C3" w:rsidRPr="009A4537" w:rsidRDefault="004320C3" w:rsidP="009A4537">
      <w:pPr>
        <w:spacing w:line="276" w:lineRule="auto"/>
        <w:jc w:val="center"/>
        <w:rPr>
          <w:rFonts w:ascii="Bookman Old Style" w:hAnsi="Bookman Old Style"/>
          <w:b/>
          <w:bCs/>
        </w:rPr>
      </w:pPr>
    </w:p>
    <w:p w14:paraId="7C2AD3EA" w14:textId="66A80A96" w:rsidR="00DD08C2" w:rsidRPr="009A4537" w:rsidRDefault="00596BE7" w:rsidP="009A4537">
      <w:pPr>
        <w:spacing w:line="276" w:lineRule="auto"/>
        <w:jc w:val="center"/>
        <w:rPr>
          <w:rFonts w:ascii="Bookman Old Style" w:hAnsi="Bookman Old Style"/>
          <w:b/>
          <w:bCs/>
        </w:rPr>
      </w:pPr>
      <w:r w:rsidRPr="009A4537">
        <w:rPr>
          <w:rFonts w:ascii="Bookman Old Style" w:hAnsi="Bookman Old Style"/>
          <w:b/>
          <w:bCs/>
        </w:rPr>
        <w:t>Rapport provisoire</w:t>
      </w:r>
    </w:p>
    <w:p w14:paraId="1210B01F" w14:textId="77777777" w:rsidR="004320C3" w:rsidRPr="009A4537" w:rsidRDefault="004320C3" w:rsidP="009A4537">
      <w:pPr>
        <w:spacing w:line="276" w:lineRule="auto"/>
        <w:jc w:val="center"/>
        <w:rPr>
          <w:rFonts w:ascii="Bookman Old Style" w:hAnsi="Bookman Old Style"/>
          <w:b/>
          <w:bCs/>
        </w:rPr>
      </w:pPr>
    </w:p>
    <w:tbl>
      <w:tblPr>
        <w:tblW w:w="9180" w:type="dxa"/>
        <w:tblInd w:w="-38" w:type="dxa"/>
        <w:tblBorders>
          <w:top w:val="thinThickSmallGap" w:sz="24" w:space="0" w:color="auto"/>
          <w:left w:val="thinThickSmallGap" w:sz="24" w:space="0" w:color="auto"/>
          <w:bottom w:val="thickThinSmallGap" w:sz="24" w:space="0" w:color="auto"/>
          <w:right w:val="thickThinSmallGap" w:sz="24" w:space="0" w:color="auto"/>
        </w:tblBorders>
        <w:tblLayout w:type="fixed"/>
        <w:tblCellMar>
          <w:left w:w="70" w:type="dxa"/>
          <w:right w:w="70" w:type="dxa"/>
        </w:tblCellMar>
        <w:tblLook w:val="01E0" w:firstRow="1" w:lastRow="1" w:firstColumn="1" w:lastColumn="1" w:noHBand="0" w:noVBand="0"/>
      </w:tblPr>
      <w:tblGrid>
        <w:gridCol w:w="9180"/>
      </w:tblGrid>
      <w:tr w:rsidR="00D16800" w:rsidRPr="009A4537" w14:paraId="444EC478" w14:textId="77777777" w:rsidTr="00A54800">
        <w:trPr>
          <w:trHeight w:val="1247"/>
        </w:trPr>
        <w:tc>
          <w:tcPr>
            <w:tcW w:w="9180" w:type="dxa"/>
            <w:shd w:val="clear" w:color="auto" w:fill="EEECE1"/>
            <w:vAlign w:val="center"/>
          </w:tcPr>
          <w:p w14:paraId="0349E124" w14:textId="6FF20299" w:rsidR="00712A5F" w:rsidRPr="009A4537" w:rsidRDefault="000234EB" w:rsidP="009A4537">
            <w:pPr>
              <w:spacing w:line="276" w:lineRule="auto"/>
              <w:jc w:val="center"/>
              <w:rPr>
                <w:rFonts w:ascii="Bookman Old Style" w:hAnsi="Bookman Old Style"/>
                <w:b/>
              </w:rPr>
            </w:pPr>
            <w:r w:rsidRPr="009A4537">
              <w:rPr>
                <w:rFonts w:ascii="Bookman Old Style" w:hAnsi="Bookman Old Style"/>
                <w:b/>
              </w:rPr>
              <w:t xml:space="preserve">EVALUATION </w:t>
            </w:r>
            <w:r w:rsidR="00C21DB3" w:rsidRPr="009A4537">
              <w:rPr>
                <w:rFonts w:ascii="Bookman Old Style" w:hAnsi="Bookman Old Style"/>
                <w:b/>
              </w:rPr>
              <w:t>DE</w:t>
            </w:r>
            <w:r w:rsidR="008A4ECC" w:rsidRPr="009A4537">
              <w:rPr>
                <w:rFonts w:ascii="Bookman Old Style" w:hAnsi="Bookman Old Style"/>
                <w:b/>
              </w:rPr>
              <w:t xml:space="preserve">S EFFETS-IMPACTS </w:t>
            </w:r>
            <w:r w:rsidR="00C21DB3" w:rsidRPr="009A4537">
              <w:rPr>
                <w:rFonts w:ascii="Bookman Old Style" w:hAnsi="Bookman Old Style"/>
                <w:b/>
              </w:rPr>
              <w:t>DES ACTIVITES DE G</w:t>
            </w:r>
            <w:r w:rsidR="00781C86">
              <w:rPr>
                <w:rFonts w:ascii="Bookman Old Style" w:hAnsi="Bookman Old Style"/>
                <w:b/>
              </w:rPr>
              <w:t xml:space="preserve">reniers </w:t>
            </w:r>
            <w:r w:rsidR="00C21DB3" w:rsidRPr="009A4537">
              <w:rPr>
                <w:rFonts w:ascii="Bookman Old Style" w:hAnsi="Bookman Old Style"/>
                <w:b/>
              </w:rPr>
              <w:t>F</w:t>
            </w:r>
            <w:r w:rsidR="00781C86">
              <w:rPr>
                <w:rFonts w:ascii="Bookman Old Style" w:hAnsi="Bookman Old Style"/>
                <w:b/>
              </w:rPr>
              <w:t xml:space="preserve">éminins de </w:t>
            </w:r>
            <w:r w:rsidR="00C21DB3" w:rsidRPr="009A4537">
              <w:rPr>
                <w:rFonts w:ascii="Bookman Old Style" w:hAnsi="Bookman Old Style"/>
                <w:b/>
              </w:rPr>
              <w:t>S</w:t>
            </w:r>
            <w:r w:rsidR="00781C86">
              <w:rPr>
                <w:rFonts w:ascii="Bookman Old Style" w:hAnsi="Bookman Old Style"/>
                <w:b/>
              </w:rPr>
              <w:t>oudure (GFS)</w:t>
            </w:r>
            <w:r w:rsidR="00C21DB3" w:rsidRPr="009A4537">
              <w:rPr>
                <w:rFonts w:ascii="Bookman Old Style" w:hAnsi="Bookman Old Style"/>
                <w:b/>
              </w:rPr>
              <w:t xml:space="preserve"> DANS </w:t>
            </w:r>
            <w:r w:rsidR="008A4ECC" w:rsidRPr="009A4537">
              <w:rPr>
                <w:rFonts w:ascii="Bookman Old Style" w:hAnsi="Bookman Old Style"/>
                <w:b/>
              </w:rPr>
              <w:t>L’AMELIORATION DE LA SECURITE ALIMENTAIRE ET NUTRITIONNELLE ET DE LA RESILIENCE DES MENAGES RURAUX D</w:t>
            </w:r>
            <w:r w:rsidRPr="009A4537">
              <w:rPr>
                <w:rFonts w:ascii="Bookman Old Style" w:hAnsi="Bookman Old Style"/>
                <w:b/>
              </w:rPr>
              <w:t xml:space="preserve">ES </w:t>
            </w:r>
            <w:r w:rsidR="00C21DB3" w:rsidRPr="009A4537">
              <w:rPr>
                <w:rFonts w:ascii="Bookman Old Style" w:hAnsi="Bookman Old Style"/>
                <w:b/>
              </w:rPr>
              <w:t>REGION</w:t>
            </w:r>
            <w:r w:rsidRPr="009A4537">
              <w:rPr>
                <w:rFonts w:ascii="Bookman Old Style" w:hAnsi="Bookman Old Style"/>
                <w:b/>
              </w:rPr>
              <w:t>S</w:t>
            </w:r>
            <w:r w:rsidR="00C21DB3" w:rsidRPr="009A4537">
              <w:rPr>
                <w:rFonts w:ascii="Bookman Old Style" w:hAnsi="Bookman Old Style"/>
                <w:b/>
              </w:rPr>
              <w:t xml:space="preserve"> DE TAHOUA</w:t>
            </w:r>
            <w:r w:rsidRPr="009A4537">
              <w:rPr>
                <w:rFonts w:ascii="Bookman Old Style" w:hAnsi="Bookman Old Style"/>
                <w:b/>
              </w:rPr>
              <w:t>, MARADI ET ZINDER</w:t>
            </w:r>
          </w:p>
        </w:tc>
      </w:tr>
    </w:tbl>
    <w:p w14:paraId="1CD417C0" w14:textId="77777777" w:rsidR="00D16800" w:rsidRPr="009A4537" w:rsidRDefault="00D16800" w:rsidP="009A4537">
      <w:pPr>
        <w:spacing w:line="276" w:lineRule="auto"/>
        <w:jc w:val="center"/>
        <w:rPr>
          <w:rFonts w:ascii="Bookman Old Style" w:hAnsi="Bookman Old Style"/>
          <w:b/>
        </w:rPr>
      </w:pPr>
    </w:p>
    <w:p w14:paraId="7D3B0B72" w14:textId="3BA34411" w:rsidR="00A3364C" w:rsidRPr="009A4537" w:rsidRDefault="00596BE7" w:rsidP="009A4537">
      <w:pPr>
        <w:spacing w:line="276" w:lineRule="auto"/>
        <w:jc w:val="center"/>
        <w:rPr>
          <w:rFonts w:ascii="Bookman Old Style" w:hAnsi="Bookman Old Style"/>
          <w:b/>
        </w:rPr>
      </w:pPr>
      <w:r w:rsidRPr="009A4537">
        <w:rPr>
          <w:rFonts w:ascii="Bookman Old Style" w:hAnsi="Bookman Old Style"/>
          <w:b/>
        </w:rPr>
        <w:t>Rédigé par : MAMAN Moustapha, ATN Sociologue</w:t>
      </w:r>
    </w:p>
    <w:p w14:paraId="2D7319B9" w14:textId="77777777" w:rsidR="000A6A36" w:rsidRPr="009A4537" w:rsidRDefault="000A6A36" w:rsidP="009A4537">
      <w:pPr>
        <w:spacing w:line="276" w:lineRule="auto"/>
        <w:rPr>
          <w:rFonts w:ascii="Bookman Old Style" w:hAnsi="Bookman Old Style"/>
          <w:b/>
        </w:rPr>
      </w:pPr>
    </w:p>
    <w:p w14:paraId="2D20890D" w14:textId="77777777" w:rsidR="00D16800" w:rsidRPr="009A4537" w:rsidRDefault="00D16800" w:rsidP="009A4537">
      <w:pPr>
        <w:spacing w:line="276" w:lineRule="auto"/>
        <w:rPr>
          <w:rFonts w:ascii="Bookman Old Style" w:hAnsi="Bookman Old Style"/>
          <w:b/>
        </w:rPr>
      </w:pPr>
    </w:p>
    <w:p w14:paraId="7DC3A4AC" w14:textId="77777777" w:rsidR="004320C3" w:rsidRPr="009A4537" w:rsidRDefault="004320C3" w:rsidP="009A4537">
      <w:pPr>
        <w:spacing w:line="276" w:lineRule="auto"/>
        <w:rPr>
          <w:rFonts w:ascii="Bookman Old Style" w:hAnsi="Bookman Old Style"/>
          <w:b/>
        </w:rPr>
      </w:pPr>
    </w:p>
    <w:p w14:paraId="55915C42" w14:textId="77777777" w:rsidR="004320C3" w:rsidRPr="009A4537" w:rsidRDefault="004320C3" w:rsidP="009A4537">
      <w:pPr>
        <w:spacing w:line="276" w:lineRule="auto"/>
        <w:rPr>
          <w:rFonts w:ascii="Bookman Old Style" w:hAnsi="Bookman Old Style"/>
          <w:b/>
        </w:rPr>
      </w:pPr>
    </w:p>
    <w:p w14:paraId="448D40E5" w14:textId="77777777" w:rsidR="004320C3" w:rsidRPr="009A4537" w:rsidRDefault="004320C3" w:rsidP="009A4537">
      <w:pPr>
        <w:spacing w:line="276" w:lineRule="auto"/>
        <w:rPr>
          <w:rFonts w:ascii="Bookman Old Style" w:hAnsi="Bookman Old Style"/>
          <w:b/>
        </w:rPr>
      </w:pPr>
    </w:p>
    <w:p w14:paraId="79FF60C3" w14:textId="77777777" w:rsidR="004320C3" w:rsidRPr="009A4537" w:rsidRDefault="004320C3" w:rsidP="009A4537">
      <w:pPr>
        <w:spacing w:line="276" w:lineRule="auto"/>
        <w:rPr>
          <w:rFonts w:ascii="Bookman Old Style" w:hAnsi="Bookman Old Style"/>
          <w:b/>
        </w:rPr>
      </w:pPr>
    </w:p>
    <w:p w14:paraId="5530154B" w14:textId="77777777" w:rsidR="004320C3" w:rsidRPr="009A4537" w:rsidRDefault="004320C3" w:rsidP="009A4537">
      <w:pPr>
        <w:spacing w:line="276" w:lineRule="auto"/>
        <w:rPr>
          <w:rFonts w:ascii="Bookman Old Style" w:hAnsi="Bookman Old Style"/>
          <w:b/>
        </w:rPr>
      </w:pPr>
    </w:p>
    <w:p w14:paraId="2D263304" w14:textId="77777777" w:rsidR="00A54800" w:rsidRPr="009A4537" w:rsidRDefault="00686AD2" w:rsidP="009A4537">
      <w:pPr>
        <w:spacing w:line="276" w:lineRule="auto"/>
        <w:rPr>
          <w:rFonts w:ascii="Bookman Old Style" w:hAnsi="Bookman Old Style"/>
          <w:b/>
        </w:rPr>
      </w:pPr>
      <w:r w:rsidRPr="009A4537">
        <w:rPr>
          <w:rFonts w:ascii="Bookman Old Style" w:hAnsi="Bookman Old Style"/>
          <w:b/>
        </w:rPr>
        <w:tab/>
      </w:r>
    </w:p>
    <w:p w14:paraId="64C0877A" w14:textId="615A2988" w:rsidR="005449C2" w:rsidRPr="009A4537" w:rsidRDefault="00D7420F" w:rsidP="009A4537">
      <w:pPr>
        <w:spacing w:line="276" w:lineRule="auto"/>
        <w:jc w:val="right"/>
        <w:rPr>
          <w:rFonts w:ascii="Bookman Old Style" w:hAnsi="Bookman Old Style"/>
        </w:rPr>
      </w:pPr>
      <w:r>
        <w:rPr>
          <w:rFonts w:ascii="Bookman Old Style" w:hAnsi="Bookman Old Style"/>
        </w:rPr>
        <w:t>Mars</w:t>
      </w:r>
      <w:r w:rsidR="00596BE7" w:rsidRPr="009A4537">
        <w:rPr>
          <w:rFonts w:ascii="Bookman Old Style" w:hAnsi="Bookman Old Style"/>
        </w:rPr>
        <w:t xml:space="preserve"> </w:t>
      </w:r>
      <w:r w:rsidR="009F2231" w:rsidRPr="009A4537">
        <w:rPr>
          <w:rFonts w:ascii="Bookman Old Style" w:hAnsi="Bookman Old Style"/>
        </w:rPr>
        <w:t>202</w:t>
      </w:r>
      <w:r w:rsidR="00596BE7" w:rsidRPr="009A4537">
        <w:rPr>
          <w:rFonts w:ascii="Bookman Old Style" w:hAnsi="Bookman Old Style"/>
        </w:rPr>
        <w:t>2</w:t>
      </w:r>
    </w:p>
    <w:p w14:paraId="234395DF" w14:textId="166D5022" w:rsidR="00A54800" w:rsidRPr="009A4537" w:rsidRDefault="00A54800" w:rsidP="009A4537">
      <w:pPr>
        <w:spacing w:line="276" w:lineRule="auto"/>
        <w:rPr>
          <w:rFonts w:ascii="Bookman Old Style" w:hAnsi="Bookman Old Style"/>
        </w:rPr>
      </w:pPr>
    </w:p>
    <w:p w14:paraId="7AA7D90D" w14:textId="59DC10C1" w:rsidR="008445AD" w:rsidRPr="009A4537" w:rsidRDefault="008445AD" w:rsidP="009A4537">
      <w:pPr>
        <w:tabs>
          <w:tab w:val="left" w:pos="7935"/>
        </w:tabs>
        <w:spacing w:line="276" w:lineRule="auto"/>
        <w:outlineLvl w:val="0"/>
        <w:rPr>
          <w:rFonts w:ascii="Bookman Old Style" w:hAnsi="Bookman Old Style" w:cs="Arial"/>
        </w:rPr>
      </w:pPr>
    </w:p>
    <w:p w14:paraId="618D6684" w14:textId="77777777" w:rsidR="00B60AD4" w:rsidRPr="009A4537" w:rsidRDefault="00B60AD4" w:rsidP="009A4537">
      <w:pPr>
        <w:tabs>
          <w:tab w:val="left" w:pos="7935"/>
        </w:tabs>
        <w:spacing w:line="276" w:lineRule="auto"/>
        <w:outlineLvl w:val="0"/>
        <w:rPr>
          <w:rFonts w:ascii="Bookman Old Style" w:hAnsi="Bookman Old Style" w:cs="Arial"/>
        </w:rPr>
      </w:pPr>
    </w:p>
    <w:p w14:paraId="08A2AF32" w14:textId="77777777" w:rsidR="00B60AD4" w:rsidRPr="009A4537" w:rsidRDefault="00B60AD4" w:rsidP="009A4537">
      <w:pPr>
        <w:tabs>
          <w:tab w:val="left" w:pos="7935"/>
        </w:tabs>
        <w:spacing w:line="276" w:lineRule="auto"/>
        <w:outlineLvl w:val="0"/>
        <w:rPr>
          <w:rFonts w:ascii="Bookman Old Style" w:hAnsi="Bookman Old Style" w:cs="Arial"/>
        </w:rPr>
      </w:pPr>
    </w:p>
    <w:p w14:paraId="6427D173" w14:textId="77777777" w:rsidR="00B60AD4" w:rsidRPr="009A4537" w:rsidRDefault="00B60AD4" w:rsidP="009A4537">
      <w:pPr>
        <w:tabs>
          <w:tab w:val="left" w:pos="7935"/>
        </w:tabs>
        <w:spacing w:line="276" w:lineRule="auto"/>
        <w:outlineLvl w:val="0"/>
        <w:rPr>
          <w:rFonts w:ascii="Bookman Old Style" w:hAnsi="Bookman Old Style" w:cs="Arial"/>
        </w:rPr>
      </w:pPr>
    </w:p>
    <w:p w14:paraId="4B7C94D5" w14:textId="6C3BBB7B" w:rsidR="00A750D9" w:rsidRPr="009A4537" w:rsidRDefault="00A750D9" w:rsidP="009A4537">
      <w:pPr>
        <w:spacing w:line="276" w:lineRule="auto"/>
        <w:rPr>
          <w:rFonts w:ascii="Bookman Old Style" w:hAnsi="Bookman Old Style" w:cs="Arial"/>
        </w:rPr>
      </w:pPr>
      <w:r w:rsidRPr="009A4537">
        <w:rPr>
          <w:rFonts w:ascii="Bookman Old Style" w:hAnsi="Bookman Old Style" w:cs="Arial"/>
        </w:rPr>
        <w:br w:type="page"/>
      </w:r>
    </w:p>
    <w:sdt>
      <w:sdtPr>
        <w:rPr>
          <w:rFonts w:ascii="Bookman Old Style" w:eastAsia="Times New Roman" w:hAnsi="Bookman Old Style" w:cs="Times New Roman"/>
          <w:b/>
          <w:bCs/>
          <w:color w:val="auto"/>
          <w:sz w:val="24"/>
          <w:szCs w:val="24"/>
        </w:rPr>
        <w:id w:val="-307935277"/>
        <w:docPartObj>
          <w:docPartGallery w:val="Table of Contents"/>
          <w:docPartUnique/>
        </w:docPartObj>
      </w:sdtPr>
      <w:sdtEndPr>
        <w:rPr>
          <w:rFonts w:ascii="Times New Roman" w:hAnsi="Times New Roman"/>
        </w:rPr>
      </w:sdtEndPr>
      <w:sdtContent>
        <w:p w14:paraId="32BBF4A1" w14:textId="7F6F95D0" w:rsidR="00DD5735" w:rsidRPr="004C1E17" w:rsidRDefault="00DD5735">
          <w:pPr>
            <w:pStyle w:val="En-ttedetabledesmatires"/>
            <w:rPr>
              <w:rFonts w:ascii="Bookman Old Style" w:hAnsi="Bookman Old Style"/>
              <w:b/>
              <w:bCs/>
              <w:sz w:val="24"/>
              <w:szCs w:val="24"/>
            </w:rPr>
          </w:pPr>
          <w:r w:rsidRPr="004C1E17">
            <w:rPr>
              <w:rFonts w:ascii="Bookman Old Style" w:hAnsi="Bookman Old Style"/>
              <w:b/>
              <w:bCs/>
              <w:sz w:val="24"/>
              <w:szCs w:val="24"/>
            </w:rPr>
            <w:t>Table des matières</w:t>
          </w:r>
        </w:p>
        <w:p w14:paraId="021ABEC3" w14:textId="455ADC95" w:rsidR="00DF33D6" w:rsidRDefault="00DA79F9">
          <w:pPr>
            <w:pStyle w:val="TM1"/>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97822336" w:history="1">
            <w:r w:rsidR="00DF33D6" w:rsidRPr="008A4950">
              <w:rPr>
                <w:rStyle w:val="Lienhypertexte"/>
                <w:rFonts w:ascii="Bookman Old Style" w:hAnsi="Bookman Old Style" w:cs="Arial"/>
                <w:b/>
                <w:bCs/>
                <w:noProof/>
              </w:rPr>
              <w:t>Sigles et abréviations</w:t>
            </w:r>
            <w:r w:rsidR="00DF33D6">
              <w:rPr>
                <w:noProof/>
                <w:webHidden/>
              </w:rPr>
              <w:tab/>
            </w:r>
            <w:r w:rsidR="00DF33D6">
              <w:rPr>
                <w:noProof/>
                <w:webHidden/>
              </w:rPr>
              <w:fldChar w:fldCharType="begin"/>
            </w:r>
            <w:r w:rsidR="00DF33D6">
              <w:rPr>
                <w:noProof/>
                <w:webHidden/>
              </w:rPr>
              <w:instrText xml:space="preserve"> PAGEREF _Toc97822336 \h </w:instrText>
            </w:r>
            <w:r w:rsidR="00DF33D6">
              <w:rPr>
                <w:noProof/>
                <w:webHidden/>
              </w:rPr>
            </w:r>
            <w:r w:rsidR="00DF33D6">
              <w:rPr>
                <w:noProof/>
                <w:webHidden/>
              </w:rPr>
              <w:fldChar w:fldCharType="separate"/>
            </w:r>
            <w:r w:rsidR="00DF33D6">
              <w:rPr>
                <w:noProof/>
                <w:webHidden/>
              </w:rPr>
              <w:t>4</w:t>
            </w:r>
            <w:r w:rsidR="00DF33D6">
              <w:rPr>
                <w:noProof/>
                <w:webHidden/>
              </w:rPr>
              <w:fldChar w:fldCharType="end"/>
            </w:r>
          </w:hyperlink>
        </w:p>
        <w:p w14:paraId="5714F144" w14:textId="14300122" w:rsidR="00DF33D6" w:rsidRDefault="00000000">
          <w:pPr>
            <w:pStyle w:val="TM1"/>
            <w:rPr>
              <w:rFonts w:asciiTheme="minorHAnsi" w:eastAsiaTheme="minorEastAsia" w:hAnsiTheme="minorHAnsi" w:cstheme="minorBidi"/>
              <w:noProof/>
              <w:sz w:val="22"/>
              <w:szCs w:val="22"/>
            </w:rPr>
          </w:pPr>
          <w:hyperlink w:anchor="_Toc97822337" w:history="1">
            <w:r w:rsidR="00DF33D6" w:rsidRPr="008A4950">
              <w:rPr>
                <w:rStyle w:val="Lienhypertexte"/>
                <w:rFonts w:ascii="Bookman Old Style" w:hAnsi="Bookman Old Style" w:cs="Arial"/>
                <w:b/>
                <w:bCs/>
                <w:noProof/>
              </w:rPr>
              <w:t>Liste des tableaux</w:t>
            </w:r>
            <w:r w:rsidR="00DF33D6">
              <w:rPr>
                <w:noProof/>
                <w:webHidden/>
              </w:rPr>
              <w:tab/>
            </w:r>
            <w:r w:rsidR="00DF33D6">
              <w:rPr>
                <w:noProof/>
                <w:webHidden/>
              </w:rPr>
              <w:fldChar w:fldCharType="begin"/>
            </w:r>
            <w:r w:rsidR="00DF33D6">
              <w:rPr>
                <w:noProof/>
                <w:webHidden/>
              </w:rPr>
              <w:instrText xml:space="preserve"> PAGEREF _Toc97822337 \h </w:instrText>
            </w:r>
            <w:r w:rsidR="00DF33D6">
              <w:rPr>
                <w:noProof/>
                <w:webHidden/>
              </w:rPr>
            </w:r>
            <w:r w:rsidR="00DF33D6">
              <w:rPr>
                <w:noProof/>
                <w:webHidden/>
              </w:rPr>
              <w:fldChar w:fldCharType="separate"/>
            </w:r>
            <w:r w:rsidR="00DF33D6">
              <w:rPr>
                <w:noProof/>
                <w:webHidden/>
              </w:rPr>
              <w:t>5</w:t>
            </w:r>
            <w:r w:rsidR="00DF33D6">
              <w:rPr>
                <w:noProof/>
                <w:webHidden/>
              </w:rPr>
              <w:fldChar w:fldCharType="end"/>
            </w:r>
          </w:hyperlink>
        </w:p>
        <w:p w14:paraId="5978A0E9" w14:textId="1685D39C" w:rsidR="00DF33D6" w:rsidRDefault="00000000">
          <w:pPr>
            <w:pStyle w:val="TM1"/>
            <w:rPr>
              <w:rFonts w:asciiTheme="minorHAnsi" w:eastAsiaTheme="minorEastAsia" w:hAnsiTheme="minorHAnsi" w:cstheme="minorBidi"/>
              <w:noProof/>
              <w:sz w:val="22"/>
              <w:szCs w:val="22"/>
            </w:rPr>
          </w:pPr>
          <w:hyperlink w:anchor="_Toc97822338" w:history="1">
            <w:r w:rsidR="00DF33D6" w:rsidRPr="008A4950">
              <w:rPr>
                <w:rStyle w:val="Lienhypertexte"/>
                <w:rFonts w:ascii="Bookman Old Style" w:hAnsi="Bookman Old Style" w:cs="Arial"/>
                <w:b/>
                <w:bCs/>
                <w:noProof/>
              </w:rPr>
              <w:t>Liste des figures</w:t>
            </w:r>
            <w:r w:rsidR="00DF33D6">
              <w:rPr>
                <w:noProof/>
                <w:webHidden/>
              </w:rPr>
              <w:tab/>
            </w:r>
            <w:r w:rsidR="00DF33D6">
              <w:rPr>
                <w:noProof/>
                <w:webHidden/>
              </w:rPr>
              <w:fldChar w:fldCharType="begin"/>
            </w:r>
            <w:r w:rsidR="00DF33D6">
              <w:rPr>
                <w:noProof/>
                <w:webHidden/>
              </w:rPr>
              <w:instrText xml:space="preserve"> PAGEREF _Toc97822338 \h </w:instrText>
            </w:r>
            <w:r w:rsidR="00DF33D6">
              <w:rPr>
                <w:noProof/>
                <w:webHidden/>
              </w:rPr>
            </w:r>
            <w:r w:rsidR="00DF33D6">
              <w:rPr>
                <w:noProof/>
                <w:webHidden/>
              </w:rPr>
              <w:fldChar w:fldCharType="separate"/>
            </w:r>
            <w:r w:rsidR="00DF33D6">
              <w:rPr>
                <w:noProof/>
                <w:webHidden/>
              </w:rPr>
              <w:t>6</w:t>
            </w:r>
            <w:r w:rsidR="00DF33D6">
              <w:rPr>
                <w:noProof/>
                <w:webHidden/>
              </w:rPr>
              <w:fldChar w:fldCharType="end"/>
            </w:r>
          </w:hyperlink>
        </w:p>
        <w:p w14:paraId="03C1E802" w14:textId="0AAE0D7A" w:rsidR="00DF33D6" w:rsidRDefault="00000000">
          <w:pPr>
            <w:pStyle w:val="TM1"/>
            <w:rPr>
              <w:rFonts w:asciiTheme="minorHAnsi" w:eastAsiaTheme="minorEastAsia" w:hAnsiTheme="minorHAnsi" w:cstheme="minorBidi"/>
              <w:noProof/>
              <w:sz w:val="22"/>
              <w:szCs w:val="22"/>
            </w:rPr>
          </w:pPr>
          <w:hyperlink w:anchor="_Toc97822339" w:history="1">
            <w:r w:rsidR="00DF33D6" w:rsidRPr="008A4950">
              <w:rPr>
                <w:rStyle w:val="Lienhypertexte"/>
                <w:rFonts w:ascii="Bookman Old Style" w:hAnsi="Bookman Old Style" w:cs="Arial"/>
                <w:b/>
                <w:noProof/>
              </w:rPr>
              <w:t>RESUME</w:t>
            </w:r>
            <w:r w:rsidR="00DF33D6">
              <w:rPr>
                <w:noProof/>
                <w:webHidden/>
              </w:rPr>
              <w:tab/>
            </w:r>
            <w:r w:rsidR="00DF33D6">
              <w:rPr>
                <w:noProof/>
                <w:webHidden/>
              </w:rPr>
              <w:fldChar w:fldCharType="begin"/>
            </w:r>
            <w:r w:rsidR="00DF33D6">
              <w:rPr>
                <w:noProof/>
                <w:webHidden/>
              </w:rPr>
              <w:instrText xml:space="preserve"> PAGEREF _Toc97822339 \h </w:instrText>
            </w:r>
            <w:r w:rsidR="00DF33D6">
              <w:rPr>
                <w:noProof/>
                <w:webHidden/>
              </w:rPr>
            </w:r>
            <w:r w:rsidR="00DF33D6">
              <w:rPr>
                <w:noProof/>
                <w:webHidden/>
              </w:rPr>
              <w:fldChar w:fldCharType="separate"/>
            </w:r>
            <w:r w:rsidR="00DF33D6">
              <w:rPr>
                <w:noProof/>
                <w:webHidden/>
              </w:rPr>
              <w:t>7</w:t>
            </w:r>
            <w:r w:rsidR="00DF33D6">
              <w:rPr>
                <w:noProof/>
                <w:webHidden/>
              </w:rPr>
              <w:fldChar w:fldCharType="end"/>
            </w:r>
          </w:hyperlink>
        </w:p>
        <w:p w14:paraId="40EE54A4" w14:textId="3E29C3AC" w:rsidR="00DF33D6" w:rsidRDefault="00000000">
          <w:pPr>
            <w:pStyle w:val="TM1"/>
            <w:rPr>
              <w:rFonts w:asciiTheme="minorHAnsi" w:eastAsiaTheme="minorEastAsia" w:hAnsiTheme="minorHAnsi" w:cstheme="minorBidi"/>
              <w:noProof/>
              <w:sz w:val="22"/>
              <w:szCs w:val="22"/>
            </w:rPr>
          </w:pPr>
          <w:hyperlink w:anchor="_Toc97822340" w:history="1">
            <w:r w:rsidR="00DF33D6" w:rsidRPr="008A4950">
              <w:rPr>
                <w:rStyle w:val="Lienhypertexte"/>
                <w:rFonts w:ascii="Bookman Old Style" w:hAnsi="Bookman Old Style" w:cs="Arial"/>
                <w:b/>
                <w:noProof/>
              </w:rPr>
              <w:t>I.</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noProof/>
              </w:rPr>
              <w:t>INTRODUCTION</w:t>
            </w:r>
            <w:r w:rsidR="00DF33D6">
              <w:rPr>
                <w:noProof/>
                <w:webHidden/>
              </w:rPr>
              <w:tab/>
            </w:r>
            <w:r w:rsidR="00DF33D6">
              <w:rPr>
                <w:noProof/>
                <w:webHidden/>
              </w:rPr>
              <w:fldChar w:fldCharType="begin"/>
            </w:r>
            <w:r w:rsidR="00DF33D6">
              <w:rPr>
                <w:noProof/>
                <w:webHidden/>
              </w:rPr>
              <w:instrText xml:space="preserve"> PAGEREF _Toc97822340 \h </w:instrText>
            </w:r>
            <w:r w:rsidR="00DF33D6">
              <w:rPr>
                <w:noProof/>
                <w:webHidden/>
              </w:rPr>
            </w:r>
            <w:r w:rsidR="00DF33D6">
              <w:rPr>
                <w:noProof/>
                <w:webHidden/>
              </w:rPr>
              <w:fldChar w:fldCharType="separate"/>
            </w:r>
            <w:r w:rsidR="00DF33D6">
              <w:rPr>
                <w:noProof/>
                <w:webHidden/>
              </w:rPr>
              <w:t>11</w:t>
            </w:r>
            <w:r w:rsidR="00DF33D6">
              <w:rPr>
                <w:noProof/>
                <w:webHidden/>
              </w:rPr>
              <w:fldChar w:fldCharType="end"/>
            </w:r>
          </w:hyperlink>
        </w:p>
        <w:p w14:paraId="1231EF19" w14:textId="34FDF517" w:rsidR="00DF33D6" w:rsidRDefault="00000000">
          <w:pPr>
            <w:pStyle w:val="TM1"/>
            <w:rPr>
              <w:rFonts w:asciiTheme="minorHAnsi" w:eastAsiaTheme="minorEastAsia" w:hAnsiTheme="minorHAnsi" w:cstheme="minorBidi"/>
              <w:noProof/>
              <w:sz w:val="22"/>
              <w:szCs w:val="22"/>
            </w:rPr>
          </w:pPr>
          <w:hyperlink w:anchor="_Toc97822341" w:history="1">
            <w:r w:rsidR="00DF33D6" w:rsidRPr="008A4950">
              <w:rPr>
                <w:rStyle w:val="Lienhypertexte"/>
                <w:rFonts w:ascii="Bookman Old Style" w:hAnsi="Bookman Old Style" w:cs="Arial"/>
                <w:b/>
                <w:noProof/>
              </w:rPr>
              <w:t>II.</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noProof/>
              </w:rPr>
              <w:t>CONTEXTE ET JUSTIFICATION</w:t>
            </w:r>
            <w:r w:rsidR="00DF33D6">
              <w:rPr>
                <w:noProof/>
                <w:webHidden/>
              </w:rPr>
              <w:tab/>
            </w:r>
            <w:r w:rsidR="00DF33D6">
              <w:rPr>
                <w:noProof/>
                <w:webHidden/>
              </w:rPr>
              <w:fldChar w:fldCharType="begin"/>
            </w:r>
            <w:r w:rsidR="00DF33D6">
              <w:rPr>
                <w:noProof/>
                <w:webHidden/>
              </w:rPr>
              <w:instrText xml:space="preserve"> PAGEREF _Toc97822341 \h </w:instrText>
            </w:r>
            <w:r w:rsidR="00DF33D6">
              <w:rPr>
                <w:noProof/>
                <w:webHidden/>
              </w:rPr>
            </w:r>
            <w:r w:rsidR="00DF33D6">
              <w:rPr>
                <w:noProof/>
                <w:webHidden/>
              </w:rPr>
              <w:fldChar w:fldCharType="separate"/>
            </w:r>
            <w:r w:rsidR="00DF33D6">
              <w:rPr>
                <w:noProof/>
                <w:webHidden/>
              </w:rPr>
              <w:t>11</w:t>
            </w:r>
            <w:r w:rsidR="00DF33D6">
              <w:rPr>
                <w:noProof/>
                <w:webHidden/>
              </w:rPr>
              <w:fldChar w:fldCharType="end"/>
            </w:r>
          </w:hyperlink>
        </w:p>
        <w:p w14:paraId="20AE4B8E" w14:textId="11CCB6E7" w:rsidR="00DF33D6" w:rsidRDefault="00000000">
          <w:pPr>
            <w:pStyle w:val="TM1"/>
            <w:rPr>
              <w:rFonts w:asciiTheme="minorHAnsi" w:eastAsiaTheme="minorEastAsia" w:hAnsiTheme="minorHAnsi" w:cstheme="minorBidi"/>
              <w:noProof/>
              <w:sz w:val="22"/>
              <w:szCs w:val="22"/>
            </w:rPr>
          </w:pPr>
          <w:hyperlink w:anchor="_Toc97822342" w:history="1">
            <w:r w:rsidR="00DF33D6" w:rsidRPr="008A4950">
              <w:rPr>
                <w:rStyle w:val="Lienhypertexte"/>
                <w:rFonts w:ascii="Bookman Old Style" w:hAnsi="Bookman Old Style" w:cs="Arial"/>
                <w:b/>
                <w:noProof/>
              </w:rPr>
              <w:t>III.</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noProof/>
              </w:rPr>
              <w:t>OBJECTIFS DE L’ACTIVITE</w:t>
            </w:r>
            <w:r w:rsidR="00DF33D6">
              <w:rPr>
                <w:noProof/>
                <w:webHidden/>
              </w:rPr>
              <w:tab/>
            </w:r>
            <w:r w:rsidR="00DF33D6">
              <w:rPr>
                <w:noProof/>
                <w:webHidden/>
              </w:rPr>
              <w:fldChar w:fldCharType="begin"/>
            </w:r>
            <w:r w:rsidR="00DF33D6">
              <w:rPr>
                <w:noProof/>
                <w:webHidden/>
              </w:rPr>
              <w:instrText xml:space="preserve"> PAGEREF _Toc97822342 \h </w:instrText>
            </w:r>
            <w:r w:rsidR="00DF33D6">
              <w:rPr>
                <w:noProof/>
                <w:webHidden/>
              </w:rPr>
            </w:r>
            <w:r w:rsidR="00DF33D6">
              <w:rPr>
                <w:noProof/>
                <w:webHidden/>
              </w:rPr>
              <w:fldChar w:fldCharType="separate"/>
            </w:r>
            <w:r w:rsidR="00DF33D6">
              <w:rPr>
                <w:noProof/>
                <w:webHidden/>
              </w:rPr>
              <w:t>12</w:t>
            </w:r>
            <w:r w:rsidR="00DF33D6">
              <w:rPr>
                <w:noProof/>
                <w:webHidden/>
              </w:rPr>
              <w:fldChar w:fldCharType="end"/>
            </w:r>
          </w:hyperlink>
        </w:p>
        <w:p w14:paraId="59954646" w14:textId="023AE91B" w:rsidR="00DF33D6" w:rsidRDefault="00000000">
          <w:pPr>
            <w:pStyle w:val="TM1"/>
            <w:rPr>
              <w:rFonts w:asciiTheme="minorHAnsi" w:eastAsiaTheme="minorEastAsia" w:hAnsiTheme="minorHAnsi" w:cstheme="minorBidi"/>
              <w:noProof/>
              <w:sz w:val="22"/>
              <w:szCs w:val="22"/>
            </w:rPr>
          </w:pPr>
          <w:hyperlink w:anchor="_Toc97822343" w:history="1">
            <w:r w:rsidR="00DF33D6" w:rsidRPr="008A4950">
              <w:rPr>
                <w:rStyle w:val="Lienhypertexte"/>
                <w:rFonts w:ascii="Bookman Old Style" w:hAnsi="Bookman Old Style" w:cs="Arial"/>
                <w:b/>
                <w:noProof/>
              </w:rPr>
              <w:t>IV.</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noProof/>
              </w:rPr>
              <w:t>METHODOLOGIE</w:t>
            </w:r>
            <w:r w:rsidR="00DF33D6">
              <w:rPr>
                <w:noProof/>
                <w:webHidden/>
              </w:rPr>
              <w:tab/>
            </w:r>
            <w:r w:rsidR="00DF33D6">
              <w:rPr>
                <w:noProof/>
                <w:webHidden/>
              </w:rPr>
              <w:fldChar w:fldCharType="begin"/>
            </w:r>
            <w:r w:rsidR="00DF33D6">
              <w:rPr>
                <w:noProof/>
                <w:webHidden/>
              </w:rPr>
              <w:instrText xml:space="preserve"> PAGEREF _Toc97822343 \h </w:instrText>
            </w:r>
            <w:r w:rsidR="00DF33D6">
              <w:rPr>
                <w:noProof/>
                <w:webHidden/>
              </w:rPr>
            </w:r>
            <w:r w:rsidR="00DF33D6">
              <w:rPr>
                <w:noProof/>
                <w:webHidden/>
              </w:rPr>
              <w:fldChar w:fldCharType="separate"/>
            </w:r>
            <w:r w:rsidR="00DF33D6">
              <w:rPr>
                <w:noProof/>
                <w:webHidden/>
              </w:rPr>
              <w:t>13</w:t>
            </w:r>
            <w:r w:rsidR="00DF33D6">
              <w:rPr>
                <w:noProof/>
                <w:webHidden/>
              </w:rPr>
              <w:fldChar w:fldCharType="end"/>
            </w:r>
          </w:hyperlink>
        </w:p>
        <w:p w14:paraId="4EB5D467" w14:textId="05452F11" w:rsidR="00DF33D6" w:rsidRDefault="00000000">
          <w:pPr>
            <w:pStyle w:val="TM2"/>
            <w:rPr>
              <w:rFonts w:asciiTheme="minorHAnsi" w:eastAsiaTheme="minorEastAsia" w:hAnsiTheme="minorHAnsi" w:cstheme="minorBidi"/>
              <w:noProof/>
              <w:sz w:val="22"/>
              <w:szCs w:val="22"/>
            </w:rPr>
          </w:pPr>
          <w:hyperlink w:anchor="_Toc97822344" w:history="1">
            <w:r w:rsidR="00DF33D6" w:rsidRPr="008A4950">
              <w:rPr>
                <w:rStyle w:val="Lienhypertexte"/>
                <w:rFonts w:ascii="Bookman Old Style" w:hAnsi="Bookman Old Style" w:cs="Arial"/>
                <w:b/>
                <w:bCs/>
                <w:noProof/>
              </w:rPr>
              <w:t>4.1.</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Revue documentaire</w:t>
            </w:r>
            <w:r w:rsidR="00DF33D6">
              <w:rPr>
                <w:noProof/>
                <w:webHidden/>
              </w:rPr>
              <w:tab/>
            </w:r>
            <w:r w:rsidR="00DF33D6">
              <w:rPr>
                <w:noProof/>
                <w:webHidden/>
              </w:rPr>
              <w:fldChar w:fldCharType="begin"/>
            </w:r>
            <w:r w:rsidR="00DF33D6">
              <w:rPr>
                <w:noProof/>
                <w:webHidden/>
              </w:rPr>
              <w:instrText xml:space="preserve"> PAGEREF _Toc97822344 \h </w:instrText>
            </w:r>
            <w:r w:rsidR="00DF33D6">
              <w:rPr>
                <w:noProof/>
                <w:webHidden/>
              </w:rPr>
            </w:r>
            <w:r w:rsidR="00DF33D6">
              <w:rPr>
                <w:noProof/>
                <w:webHidden/>
              </w:rPr>
              <w:fldChar w:fldCharType="separate"/>
            </w:r>
            <w:r w:rsidR="00DF33D6">
              <w:rPr>
                <w:noProof/>
                <w:webHidden/>
              </w:rPr>
              <w:t>13</w:t>
            </w:r>
            <w:r w:rsidR="00DF33D6">
              <w:rPr>
                <w:noProof/>
                <w:webHidden/>
              </w:rPr>
              <w:fldChar w:fldCharType="end"/>
            </w:r>
          </w:hyperlink>
        </w:p>
        <w:p w14:paraId="30A25F9E" w14:textId="36955D0B" w:rsidR="00DF33D6" w:rsidRDefault="00000000">
          <w:pPr>
            <w:pStyle w:val="TM2"/>
            <w:rPr>
              <w:rFonts w:asciiTheme="minorHAnsi" w:eastAsiaTheme="minorEastAsia" w:hAnsiTheme="minorHAnsi" w:cstheme="minorBidi"/>
              <w:noProof/>
              <w:sz w:val="22"/>
              <w:szCs w:val="22"/>
            </w:rPr>
          </w:pPr>
          <w:hyperlink w:anchor="_Toc97822345" w:history="1">
            <w:r w:rsidR="00DF33D6" w:rsidRPr="008A4950">
              <w:rPr>
                <w:rStyle w:val="Lienhypertexte"/>
                <w:rFonts w:ascii="Bookman Old Style" w:hAnsi="Bookman Old Style" w:cs="Arial"/>
                <w:b/>
                <w:bCs/>
                <w:noProof/>
              </w:rPr>
              <w:t>4.2.</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Outils de collecte des données</w:t>
            </w:r>
            <w:r w:rsidR="00DF33D6">
              <w:rPr>
                <w:noProof/>
                <w:webHidden/>
              </w:rPr>
              <w:tab/>
            </w:r>
            <w:r w:rsidR="00DF33D6">
              <w:rPr>
                <w:noProof/>
                <w:webHidden/>
              </w:rPr>
              <w:fldChar w:fldCharType="begin"/>
            </w:r>
            <w:r w:rsidR="00DF33D6">
              <w:rPr>
                <w:noProof/>
                <w:webHidden/>
              </w:rPr>
              <w:instrText xml:space="preserve"> PAGEREF _Toc97822345 \h </w:instrText>
            </w:r>
            <w:r w:rsidR="00DF33D6">
              <w:rPr>
                <w:noProof/>
                <w:webHidden/>
              </w:rPr>
            </w:r>
            <w:r w:rsidR="00DF33D6">
              <w:rPr>
                <w:noProof/>
                <w:webHidden/>
              </w:rPr>
              <w:fldChar w:fldCharType="separate"/>
            </w:r>
            <w:r w:rsidR="00DF33D6">
              <w:rPr>
                <w:noProof/>
                <w:webHidden/>
              </w:rPr>
              <w:t>13</w:t>
            </w:r>
            <w:r w:rsidR="00DF33D6">
              <w:rPr>
                <w:noProof/>
                <w:webHidden/>
              </w:rPr>
              <w:fldChar w:fldCharType="end"/>
            </w:r>
          </w:hyperlink>
        </w:p>
        <w:p w14:paraId="603AEEF6" w14:textId="4507CB37" w:rsidR="00DF33D6" w:rsidRDefault="00000000">
          <w:pPr>
            <w:pStyle w:val="TM2"/>
            <w:rPr>
              <w:rFonts w:asciiTheme="minorHAnsi" w:eastAsiaTheme="minorEastAsia" w:hAnsiTheme="minorHAnsi" w:cstheme="minorBidi"/>
              <w:noProof/>
              <w:sz w:val="22"/>
              <w:szCs w:val="22"/>
            </w:rPr>
          </w:pPr>
          <w:hyperlink w:anchor="_Toc97822346" w:history="1">
            <w:r w:rsidR="00DF33D6" w:rsidRPr="008A4950">
              <w:rPr>
                <w:rStyle w:val="Lienhypertexte"/>
                <w:rFonts w:ascii="Bookman Old Style" w:hAnsi="Bookman Old Style" w:cs="Arial"/>
                <w:b/>
                <w:bCs/>
                <w:noProof/>
              </w:rPr>
              <w:t>4.3.</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Cibles à enquêter</w:t>
            </w:r>
            <w:r w:rsidR="00DF33D6">
              <w:rPr>
                <w:noProof/>
                <w:webHidden/>
              </w:rPr>
              <w:tab/>
            </w:r>
            <w:r w:rsidR="00DF33D6">
              <w:rPr>
                <w:noProof/>
                <w:webHidden/>
              </w:rPr>
              <w:fldChar w:fldCharType="begin"/>
            </w:r>
            <w:r w:rsidR="00DF33D6">
              <w:rPr>
                <w:noProof/>
                <w:webHidden/>
              </w:rPr>
              <w:instrText xml:space="preserve"> PAGEREF _Toc97822346 \h </w:instrText>
            </w:r>
            <w:r w:rsidR="00DF33D6">
              <w:rPr>
                <w:noProof/>
                <w:webHidden/>
              </w:rPr>
            </w:r>
            <w:r w:rsidR="00DF33D6">
              <w:rPr>
                <w:noProof/>
                <w:webHidden/>
              </w:rPr>
              <w:fldChar w:fldCharType="separate"/>
            </w:r>
            <w:r w:rsidR="00DF33D6">
              <w:rPr>
                <w:noProof/>
                <w:webHidden/>
              </w:rPr>
              <w:t>14</w:t>
            </w:r>
            <w:r w:rsidR="00DF33D6">
              <w:rPr>
                <w:noProof/>
                <w:webHidden/>
              </w:rPr>
              <w:fldChar w:fldCharType="end"/>
            </w:r>
          </w:hyperlink>
        </w:p>
        <w:p w14:paraId="4FEE46E8" w14:textId="62CF8461" w:rsidR="00DF33D6" w:rsidRDefault="00000000">
          <w:pPr>
            <w:pStyle w:val="TM2"/>
            <w:rPr>
              <w:rFonts w:asciiTheme="minorHAnsi" w:eastAsiaTheme="minorEastAsia" w:hAnsiTheme="minorHAnsi" w:cstheme="minorBidi"/>
              <w:noProof/>
              <w:sz w:val="22"/>
              <w:szCs w:val="22"/>
            </w:rPr>
          </w:pPr>
          <w:hyperlink w:anchor="_Toc97822347" w:history="1">
            <w:r w:rsidR="00DF33D6" w:rsidRPr="008A4950">
              <w:rPr>
                <w:rStyle w:val="Lienhypertexte"/>
                <w:rFonts w:ascii="Bookman Old Style" w:hAnsi="Bookman Old Style" w:cs="Arial"/>
                <w:b/>
                <w:bCs/>
                <w:noProof/>
              </w:rPr>
              <w:t>4.4.</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Echantillonnage</w:t>
            </w:r>
            <w:r w:rsidR="00DF33D6">
              <w:rPr>
                <w:noProof/>
                <w:webHidden/>
              </w:rPr>
              <w:tab/>
            </w:r>
            <w:r w:rsidR="00DF33D6">
              <w:rPr>
                <w:noProof/>
                <w:webHidden/>
              </w:rPr>
              <w:fldChar w:fldCharType="begin"/>
            </w:r>
            <w:r w:rsidR="00DF33D6">
              <w:rPr>
                <w:noProof/>
                <w:webHidden/>
              </w:rPr>
              <w:instrText xml:space="preserve"> PAGEREF _Toc97822347 \h </w:instrText>
            </w:r>
            <w:r w:rsidR="00DF33D6">
              <w:rPr>
                <w:noProof/>
                <w:webHidden/>
              </w:rPr>
            </w:r>
            <w:r w:rsidR="00DF33D6">
              <w:rPr>
                <w:noProof/>
                <w:webHidden/>
              </w:rPr>
              <w:fldChar w:fldCharType="separate"/>
            </w:r>
            <w:r w:rsidR="00DF33D6">
              <w:rPr>
                <w:noProof/>
                <w:webHidden/>
              </w:rPr>
              <w:t>14</w:t>
            </w:r>
            <w:r w:rsidR="00DF33D6">
              <w:rPr>
                <w:noProof/>
                <w:webHidden/>
              </w:rPr>
              <w:fldChar w:fldCharType="end"/>
            </w:r>
          </w:hyperlink>
        </w:p>
        <w:p w14:paraId="03230F92" w14:textId="2C4E6B30" w:rsidR="00DF33D6" w:rsidRDefault="00000000">
          <w:pPr>
            <w:pStyle w:val="TM2"/>
            <w:rPr>
              <w:rFonts w:asciiTheme="minorHAnsi" w:eastAsiaTheme="minorEastAsia" w:hAnsiTheme="minorHAnsi" w:cstheme="minorBidi"/>
              <w:noProof/>
              <w:sz w:val="22"/>
              <w:szCs w:val="22"/>
            </w:rPr>
          </w:pPr>
          <w:hyperlink w:anchor="_Toc97822348" w:history="1">
            <w:r w:rsidR="00DF33D6" w:rsidRPr="008A4950">
              <w:rPr>
                <w:rStyle w:val="Lienhypertexte"/>
                <w:rFonts w:ascii="Bookman Old Style" w:hAnsi="Bookman Old Style" w:cs="Arial"/>
                <w:b/>
                <w:bCs/>
                <w:noProof/>
              </w:rPr>
              <w:t>4.5.</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Collecte des données</w:t>
            </w:r>
            <w:r w:rsidR="00DF33D6">
              <w:rPr>
                <w:noProof/>
                <w:webHidden/>
              </w:rPr>
              <w:tab/>
            </w:r>
            <w:r w:rsidR="00DF33D6">
              <w:rPr>
                <w:noProof/>
                <w:webHidden/>
              </w:rPr>
              <w:fldChar w:fldCharType="begin"/>
            </w:r>
            <w:r w:rsidR="00DF33D6">
              <w:rPr>
                <w:noProof/>
                <w:webHidden/>
              </w:rPr>
              <w:instrText xml:space="preserve"> PAGEREF _Toc97822348 \h </w:instrText>
            </w:r>
            <w:r w:rsidR="00DF33D6">
              <w:rPr>
                <w:noProof/>
                <w:webHidden/>
              </w:rPr>
            </w:r>
            <w:r w:rsidR="00DF33D6">
              <w:rPr>
                <w:noProof/>
                <w:webHidden/>
              </w:rPr>
              <w:fldChar w:fldCharType="separate"/>
            </w:r>
            <w:r w:rsidR="00DF33D6">
              <w:rPr>
                <w:noProof/>
                <w:webHidden/>
              </w:rPr>
              <w:t>15</w:t>
            </w:r>
            <w:r w:rsidR="00DF33D6">
              <w:rPr>
                <w:noProof/>
                <w:webHidden/>
              </w:rPr>
              <w:fldChar w:fldCharType="end"/>
            </w:r>
          </w:hyperlink>
        </w:p>
        <w:p w14:paraId="73190CFB" w14:textId="4360E133" w:rsidR="00DF33D6" w:rsidRDefault="00000000">
          <w:pPr>
            <w:pStyle w:val="TM2"/>
            <w:rPr>
              <w:rFonts w:asciiTheme="minorHAnsi" w:eastAsiaTheme="minorEastAsia" w:hAnsiTheme="minorHAnsi" w:cstheme="minorBidi"/>
              <w:noProof/>
              <w:sz w:val="22"/>
              <w:szCs w:val="22"/>
            </w:rPr>
          </w:pPr>
          <w:hyperlink w:anchor="_Toc97822349" w:history="1">
            <w:r w:rsidR="00DF33D6" w:rsidRPr="008A4950">
              <w:rPr>
                <w:rStyle w:val="Lienhypertexte"/>
                <w:rFonts w:ascii="Bookman Old Style" w:hAnsi="Bookman Old Style" w:cs="Arial"/>
                <w:b/>
                <w:bCs/>
                <w:noProof/>
              </w:rPr>
              <w:t>4.6.</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Traitement, analyse et interprétation des résultats</w:t>
            </w:r>
            <w:r w:rsidR="00DF33D6">
              <w:rPr>
                <w:noProof/>
                <w:webHidden/>
              </w:rPr>
              <w:tab/>
            </w:r>
            <w:r w:rsidR="00DF33D6">
              <w:rPr>
                <w:noProof/>
                <w:webHidden/>
              </w:rPr>
              <w:fldChar w:fldCharType="begin"/>
            </w:r>
            <w:r w:rsidR="00DF33D6">
              <w:rPr>
                <w:noProof/>
                <w:webHidden/>
              </w:rPr>
              <w:instrText xml:space="preserve"> PAGEREF _Toc97822349 \h </w:instrText>
            </w:r>
            <w:r w:rsidR="00DF33D6">
              <w:rPr>
                <w:noProof/>
                <w:webHidden/>
              </w:rPr>
            </w:r>
            <w:r w:rsidR="00DF33D6">
              <w:rPr>
                <w:noProof/>
                <w:webHidden/>
              </w:rPr>
              <w:fldChar w:fldCharType="separate"/>
            </w:r>
            <w:r w:rsidR="00DF33D6">
              <w:rPr>
                <w:noProof/>
                <w:webHidden/>
              </w:rPr>
              <w:t>15</w:t>
            </w:r>
            <w:r w:rsidR="00DF33D6">
              <w:rPr>
                <w:noProof/>
                <w:webHidden/>
              </w:rPr>
              <w:fldChar w:fldCharType="end"/>
            </w:r>
          </w:hyperlink>
        </w:p>
        <w:p w14:paraId="2313FB30" w14:textId="6B50D934" w:rsidR="00DF33D6" w:rsidRDefault="00000000">
          <w:pPr>
            <w:pStyle w:val="TM1"/>
            <w:rPr>
              <w:rFonts w:asciiTheme="minorHAnsi" w:eastAsiaTheme="minorEastAsia" w:hAnsiTheme="minorHAnsi" w:cstheme="minorBidi"/>
              <w:noProof/>
              <w:sz w:val="22"/>
              <w:szCs w:val="22"/>
            </w:rPr>
          </w:pPr>
          <w:hyperlink w:anchor="_Toc97822350" w:history="1">
            <w:r w:rsidR="00DF33D6" w:rsidRPr="008A4950">
              <w:rPr>
                <w:rStyle w:val="Lienhypertexte"/>
                <w:rFonts w:ascii="Bookman Old Style" w:hAnsi="Bookman Old Style" w:cs="Arial"/>
                <w:b/>
                <w:noProof/>
              </w:rPr>
              <w:t>V.</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noProof/>
              </w:rPr>
              <w:t>RESULTATS DE L’ETUDE</w:t>
            </w:r>
            <w:r w:rsidR="00DF33D6">
              <w:rPr>
                <w:noProof/>
                <w:webHidden/>
              </w:rPr>
              <w:tab/>
            </w:r>
            <w:r w:rsidR="00DF33D6">
              <w:rPr>
                <w:noProof/>
                <w:webHidden/>
              </w:rPr>
              <w:fldChar w:fldCharType="begin"/>
            </w:r>
            <w:r w:rsidR="00DF33D6">
              <w:rPr>
                <w:noProof/>
                <w:webHidden/>
              </w:rPr>
              <w:instrText xml:space="preserve"> PAGEREF _Toc97822350 \h </w:instrText>
            </w:r>
            <w:r w:rsidR="00DF33D6">
              <w:rPr>
                <w:noProof/>
                <w:webHidden/>
              </w:rPr>
            </w:r>
            <w:r w:rsidR="00DF33D6">
              <w:rPr>
                <w:noProof/>
                <w:webHidden/>
              </w:rPr>
              <w:fldChar w:fldCharType="separate"/>
            </w:r>
            <w:r w:rsidR="00DF33D6">
              <w:rPr>
                <w:noProof/>
                <w:webHidden/>
              </w:rPr>
              <w:t>15</w:t>
            </w:r>
            <w:r w:rsidR="00DF33D6">
              <w:rPr>
                <w:noProof/>
                <w:webHidden/>
              </w:rPr>
              <w:fldChar w:fldCharType="end"/>
            </w:r>
          </w:hyperlink>
        </w:p>
        <w:p w14:paraId="50983089" w14:textId="37AB1EA5" w:rsidR="00DF33D6" w:rsidRDefault="00000000">
          <w:pPr>
            <w:pStyle w:val="TM2"/>
            <w:rPr>
              <w:rFonts w:asciiTheme="minorHAnsi" w:eastAsiaTheme="minorEastAsia" w:hAnsiTheme="minorHAnsi" w:cstheme="minorBidi"/>
              <w:noProof/>
              <w:sz w:val="22"/>
              <w:szCs w:val="22"/>
            </w:rPr>
          </w:pPr>
          <w:hyperlink w:anchor="_Toc97822351" w:history="1">
            <w:r w:rsidR="00DF33D6" w:rsidRPr="008A4950">
              <w:rPr>
                <w:rStyle w:val="Lienhypertexte"/>
                <w:rFonts w:ascii="Bookman Old Style" w:hAnsi="Bookman Old Style" w:cs="Arial"/>
                <w:b/>
                <w:bCs/>
                <w:noProof/>
              </w:rPr>
              <w:t>5.1.</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Informations générales sur les groupements enquêtés</w:t>
            </w:r>
            <w:r w:rsidR="00DF33D6">
              <w:rPr>
                <w:noProof/>
                <w:webHidden/>
              </w:rPr>
              <w:tab/>
            </w:r>
            <w:r w:rsidR="00DF33D6">
              <w:rPr>
                <w:noProof/>
                <w:webHidden/>
              </w:rPr>
              <w:fldChar w:fldCharType="begin"/>
            </w:r>
            <w:r w:rsidR="00DF33D6">
              <w:rPr>
                <w:noProof/>
                <w:webHidden/>
              </w:rPr>
              <w:instrText xml:space="preserve"> PAGEREF _Toc97822351 \h </w:instrText>
            </w:r>
            <w:r w:rsidR="00DF33D6">
              <w:rPr>
                <w:noProof/>
                <w:webHidden/>
              </w:rPr>
            </w:r>
            <w:r w:rsidR="00DF33D6">
              <w:rPr>
                <w:noProof/>
                <w:webHidden/>
              </w:rPr>
              <w:fldChar w:fldCharType="separate"/>
            </w:r>
            <w:r w:rsidR="00DF33D6">
              <w:rPr>
                <w:noProof/>
                <w:webHidden/>
              </w:rPr>
              <w:t>15</w:t>
            </w:r>
            <w:r w:rsidR="00DF33D6">
              <w:rPr>
                <w:noProof/>
                <w:webHidden/>
              </w:rPr>
              <w:fldChar w:fldCharType="end"/>
            </w:r>
          </w:hyperlink>
        </w:p>
        <w:p w14:paraId="798AD846" w14:textId="35AD42B8" w:rsidR="00DF33D6" w:rsidRDefault="00000000">
          <w:pPr>
            <w:pStyle w:val="TM3"/>
            <w:rPr>
              <w:rFonts w:asciiTheme="minorHAnsi" w:eastAsiaTheme="minorEastAsia" w:hAnsiTheme="minorHAnsi" w:cstheme="minorBidi"/>
              <w:noProof/>
              <w:sz w:val="22"/>
              <w:szCs w:val="22"/>
            </w:rPr>
          </w:pPr>
          <w:hyperlink w:anchor="_Toc97822352" w:history="1">
            <w:r w:rsidR="00DF33D6" w:rsidRPr="008A4950">
              <w:rPr>
                <w:rStyle w:val="Lienhypertexte"/>
                <w:rFonts w:ascii="Bookman Old Style" w:hAnsi="Bookman Old Style" w:cs="Arial"/>
                <w:i/>
                <w:iCs/>
                <w:noProof/>
              </w:rPr>
              <w:t>5.1.1. Nombre de GFS et de groupements membres</w:t>
            </w:r>
            <w:r w:rsidR="00DF33D6">
              <w:rPr>
                <w:noProof/>
                <w:webHidden/>
              </w:rPr>
              <w:tab/>
            </w:r>
            <w:r w:rsidR="00DF33D6">
              <w:rPr>
                <w:noProof/>
                <w:webHidden/>
              </w:rPr>
              <w:fldChar w:fldCharType="begin"/>
            </w:r>
            <w:r w:rsidR="00DF33D6">
              <w:rPr>
                <w:noProof/>
                <w:webHidden/>
              </w:rPr>
              <w:instrText xml:space="preserve"> PAGEREF _Toc97822352 \h </w:instrText>
            </w:r>
            <w:r w:rsidR="00DF33D6">
              <w:rPr>
                <w:noProof/>
                <w:webHidden/>
              </w:rPr>
            </w:r>
            <w:r w:rsidR="00DF33D6">
              <w:rPr>
                <w:noProof/>
                <w:webHidden/>
              </w:rPr>
              <w:fldChar w:fldCharType="separate"/>
            </w:r>
            <w:r w:rsidR="00DF33D6">
              <w:rPr>
                <w:noProof/>
                <w:webHidden/>
              </w:rPr>
              <w:t>15</w:t>
            </w:r>
            <w:r w:rsidR="00DF33D6">
              <w:rPr>
                <w:noProof/>
                <w:webHidden/>
              </w:rPr>
              <w:fldChar w:fldCharType="end"/>
            </w:r>
          </w:hyperlink>
        </w:p>
        <w:p w14:paraId="5E97F3D5" w14:textId="094E5D59" w:rsidR="00DF33D6" w:rsidRDefault="00000000">
          <w:pPr>
            <w:pStyle w:val="TM3"/>
            <w:rPr>
              <w:rFonts w:asciiTheme="minorHAnsi" w:eastAsiaTheme="minorEastAsia" w:hAnsiTheme="minorHAnsi" w:cstheme="minorBidi"/>
              <w:noProof/>
              <w:sz w:val="22"/>
              <w:szCs w:val="22"/>
            </w:rPr>
          </w:pPr>
          <w:hyperlink w:anchor="_Toc97822353" w:history="1">
            <w:r w:rsidR="00DF33D6" w:rsidRPr="008A4950">
              <w:rPr>
                <w:rStyle w:val="Lienhypertexte"/>
                <w:rFonts w:ascii="Bookman Old Style" w:hAnsi="Bookman Old Style" w:cs="Arial"/>
                <w:i/>
                <w:iCs/>
                <w:noProof/>
              </w:rPr>
              <w:t>5.1.2. Nombre des membres GFS par Région et par PDE</w:t>
            </w:r>
            <w:r w:rsidR="00DF33D6">
              <w:rPr>
                <w:noProof/>
                <w:webHidden/>
              </w:rPr>
              <w:tab/>
            </w:r>
            <w:r w:rsidR="00DF33D6">
              <w:rPr>
                <w:noProof/>
                <w:webHidden/>
              </w:rPr>
              <w:fldChar w:fldCharType="begin"/>
            </w:r>
            <w:r w:rsidR="00DF33D6">
              <w:rPr>
                <w:noProof/>
                <w:webHidden/>
              </w:rPr>
              <w:instrText xml:space="preserve"> PAGEREF _Toc97822353 \h </w:instrText>
            </w:r>
            <w:r w:rsidR="00DF33D6">
              <w:rPr>
                <w:noProof/>
                <w:webHidden/>
              </w:rPr>
            </w:r>
            <w:r w:rsidR="00DF33D6">
              <w:rPr>
                <w:noProof/>
                <w:webHidden/>
              </w:rPr>
              <w:fldChar w:fldCharType="separate"/>
            </w:r>
            <w:r w:rsidR="00DF33D6">
              <w:rPr>
                <w:noProof/>
                <w:webHidden/>
              </w:rPr>
              <w:t>16</w:t>
            </w:r>
            <w:r w:rsidR="00DF33D6">
              <w:rPr>
                <w:noProof/>
                <w:webHidden/>
              </w:rPr>
              <w:fldChar w:fldCharType="end"/>
            </w:r>
          </w:hyperlink>
        </w:p>
        <w:p w14:paraId="06721CB5" w14:textId="68D6C228" w:rsidR="00DF33D6" w:rsidRDefault="00000000">
          <w:pPr>
            <w:pStyle w:val="TM2"/>
            <w:rPr>
              <w:rFonts w:asciiTheme="minorHAnsi" w:eastAsiaTheme="minorEastAsia" w:hAnsiTheme="minorHAnsi" w:cstheme="minorBidi"/>
              <w:noProof/>
              <w:sz w:val="22"/>
              <w:szCs w:val="22"/>
            </w:rPr>
          </w:pPr>
          <w:hyperlink w:anchor="_Toc97822354" w:history="1">
            <w:r w:rsidR="00DF33D6" w:rsidRPr="008A4950">
              <w:rPr>
                <w:rStyle w:val="Lienhypertexte"/>
                <w:rFonts w:ascii="Bookman Old Style" w:hAnsi="Bookman Old Style" w:cs="Arial"/>
                <w:b/>
                <w:bCs/>
                <w:noProof/>
              </w:rPr>
              <w:t>5.2.</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Informations générales sur les bénéficiaires enquêtées</w:t>
            </w:r>
            <w:r w:rsidR="00DF33D6">
              <w:rPr>
                <w:noProof/>
                <w:webHidden/>
              </w:rPr>
              <w:tab/>
            </w:r>
            <w:r w:rsidR="00DF33D6">
              <w:rPr>
                <w:noProof/>
                <w:webHidden/>
              </w:rPr>
              <w:fldChar w:fldCharType="begin"/>
            </w:r>
            <w:r w:rsidR="00DF33D6">
              <w:rPr>
                <w:noProof/>
                <w:webHidden/>
              </w:rPr>
              <w:instrText xml:space="preserve"> PAGEREF _Toc97822354 \h </w:instrText>
            </w:r>
            <w:r w:rsidR="00DF33D6">
              <w:rPr>
                <w:noProof/>
                <w:webHidden/>
              </w:rPr>
            </w:r>
            <w:r w:rsidR="00DF33D6">
              <w:rPr>
                <w:noProof/>
                <w:webHidden/>
              </w:rPr>
              <w:fldChar w:fldCharType="separate"/>
            </w:r>
            <w:r w:rsidR="00DF33D6">
              <w:rPr>
                <w:noProof/>
                <w:webHidden/>
              </w:rPr>
              <w:t>18</w:t>
            </w:r>
            <w:r w:rsidR="00DF33D6">
              <w:rPr>
                <w:noProof/>
                <w:webHidden/>
              </w:rPr>
              <w:fldChar w:fldCharType="end"/>
            </w:r>
          </w:hyperlink>
        </w:p>
        <w:p w14:paraId="62C3F590" w14:textId="5DC8D3B7" w:rsidR="00DF33D6" w:rsidRDefault="00000000">
          <w:pPr>
            <w:pStyle w:val="TM3"/>
            <w:rPr>
              <w:rFonts w:asciiTheme="minorHAnsi" w:eastAsiaTheme="minorEastAsia" w:hAnsiTheme="minorHAnsi" w:cstheme="minorBidi"/>
              <w:noProof/>
              <w:sz w:val="22"/>
              <w:szCs w:val="22"/>
            </w:rPr>
          </w:pPr>
          <w:hyperlink w:anchor="_Toc97822355" w:history="1">
            <w:r w:rsidR="00DF33D6" w:rsidRPr="008A4950">
              <w:rPr>
                <w:rStyle w:val="Lienhypertexte"/>
                <w:rFonts w:ascii="Bookman Old Style" w:hAnsi="Bookman Old Style" w:cs="Arial"/>
                <w:i/>
                <w:iCs/>
                <w:noProof/>
              </w:rPr>
              <w:t>5.2.1. Type et taille des ménages</w:t>
            </w:r>
            <w:r w:rsidR="00DF33D6">
              <w:rPr>
                <w:noProof/>
                <w:webHidden/>
              </w:rPr>
              <w:tab/>
            </w:r>
            <w:r w:rsidR="00DF33D6">
              <w:rPr>
                <w:noProof/>
                <w:webHidden/>
              </w:rPr>
              <w:fldChar w:fldCharType="begin"/>
            </w:r>
            <w:r w:rsidR="00DF33D6">
              <w:rPr>
                <w:noProof/>
                <w:webHidden/>
              </w:rPr>
              <w:instrText xml:space="preserve"> PAGEREF _Toc97822355 \h </w:instrText>
            </w:r>
            <w:r w:rsidR="00DF33D6">
              <w:rPr>
                <w:noProof/>
                <w:webHidden/>
              </w:rPr>
            </w:r>
            <w:r w:rsidR="00DF33D6">
              <w:rPr>
                <w:noProof/>
                <w:webHidden/>
              </w:rPr>
              <w:fldChar w:fldCharType="separate"/>
            </w:r>
            <w:r w:rsidR="00DF33D6">
              <w:rPr>
                <w:noProof/>
                <w:webHidden/>
              </w:rPr>
              <w:t>18</w:t>
            </w:r>
            <w:r w:rsidR="00DF33D6">
              <w:rPr>
                <w:noProof/>
                <w:webHidden/>
              </w:rPr>
              <w:fldChar w:fldCharType="end"/>
            </w:r>
          </w:hyperlink>
        </w:p>
        <w:p w14:paraId="12B07CCB" w14:textId="6225E5A5" w:rsidR="00DF33D6" w:rsidRDefault="00000000">
          <w:pPr>
            <w:pStyle w:val="TM3"/>
            <w:rPr>
              <w:rFonts w:asciiTheme="minorHAnsi" w:eastAsiaTheme="minorEastAsia" w:hAnsiTheme="minorHAnsi" w:cstheme="minorBidi"/>
              <w:noProof/>
              <w:sz w:val="22"/>
              <w:szCs w:val="22"/>
            </w:rPr>
          </w:pPr>
          <w:hyperlink w:anchor="_Toc97822356" w:history="1">
            <w:r w:rsidR="00DF33D6" w:rsidRPr="008A4950">
              <w:rPr>
                <w:rStyle w:val="Lienhypertexte"/>
                <w:rFonts w:ascii="Bookman Old Style" w:hAnsi="Bookman Old Style" w:cs="Arial"/>
                <w:i/>
                <w:iCs/>
                <w:noProof/>
              </w:rPr>
              <w:t>5.2.2. Taille de ménages et proportion des enfants de moins de 5 ans</w:t>
            </w:r>
            <w:r w:rsidR="00DF33D6">
              <w:rPr>
                <w:noProof/>
                <w:webHidden/>
              </w:rPr>
              <w:tab/>
            </w:r>
            <w:r w:rsidR="00DF33D6">
              <w:rPr>
                <w:noProof/>
                <w:webHidden/>
              </w:rPr>
              <w:fldChar w:fldCharType="begin"/>
            </w:r>
            <w:r w:rsidR="00DF33D6">
              <w:rPr>
                <w:noProof/>
                <w:webHidden/>
              </w:rPr>
              <w:instrText xml:space="preserve"> PAGEREF _Toc97822356 \h </w:instrText>
            </w:r>
            <w:r w:rsidR="00DF33D6">
              <w:rPr>
                <w:noProof/>
                <w:webHidden/>
              </w:rPr>
            </w:r>
            <w:r w:rsidR="00DF33D6">
              <w:rPr>
                <w:noProof/>
                <w:webHidden/>
              </w:rPr>
              <w:fldChar w:fldCharType="separate"/>
            </w:r>
            <w:r w:rsidR="00DF33D6">
              <w:rPr>
                <w:noProof/>
                <w:webHidden/>
              </w:rPr>
              <w:t>19</w:t>
            </w:r>
            <w:r w:rsidR="00DF33D6">
              <w:rPr>
                <w:noProof/>
                <w:webHidden/>
              </w:rPr>
              <w:fldChar w:fldCharType="end"/>
            </w:r>
          </w:hyperlink>
        </w:p>
        <w:p w14:paraId="17B0254E" w14:textId="4B806C19" w:rsidR="00DF33D6" w:rsidRDefault="00000000">
          <w:pPr>
            <w:pStyle w:val="TM3"/>
            <w:rPr>
              <w:rFonts w:asciiTheme="minorHAnsi" w:eastAsiaTheme="minorEastAsia" w:hAnsiTheme="minorHAnsi" w:cstheme="minorBidi"/>
              <w:noProof/>
              <w:sz w:val="22"/>
              <w:szCs w:val="22"/>
            </w:rPr>
          </w:pPr>
          <w:hyperlink w:anchor="_Toc97822357" w:history="1">
            <w:r w:rsidR="00DF33D6" w:rsidRPr="008A4950">
              <w:rPr>
                <w:rStyle w:val="Lienhypertexte"/>
                <w:rFonts w:ascii="Bookman Old Style" w:hAnsi="Bookman Old Style" w:cs="Arial"/>
                <w:i/>
                <w:iCs/>
                <w:noProof/>
              </w:rPr>
              <w:t>5.2.3. Taille des ménages et nombre d’actif agricole des ménages</w:t>
            </w:r>
            <w:r w:rsidR="00DF33D6">
              <w:rPr>
                <w:noProof/>
                <w:webHidden/>
              </w:rPr>
              <w:tab/>
            </w:r>
            <w:r w:rsidR="00DF33D6">
              <w:rPr>
                <w:noProof/>
                <w:webHidden/>
              </w:rPr>
              <w:fldChar w:fldCharType="begin"/>
            </w:r>
            <w:r w:rsidR="00DF33D6">
              <w:rPr>
                <w:noProof/>
                <w:webHidden/>
              </w:rPr>
              <w:instrText xml:space="preserve"> PAGEREF _Toc97822357 \h </w:instrText>
            </w:r>
            <w:r w:rsidR="00DF33D6">
              <w:rPr>
                <w:noProof/>
                <w:webHidden/>
              </w:rPr>
            </w:r>
            <w:r w:rsidR="00DF33D6">
              <w:rPr>
                <w:noProof/>
                <w:webHidden/>
              </w:rPr>
              <w:fldChar w:fldCharType="separate"/>
            </w:r>
            <w:r w:rsidR="00DF33D6">
              <w:rPr>
                <w:noProof/>
                <w:webHidden/>
              </w:rPr>
              <w:t>20</w:t>
            </w:r>
            <w:r w:rsidR="00DF33D6">
              <w:rPr>
                <w:noProof/>
                <w:webHidden/>
              </w:rPr>
              <w:fldChar w:fldCharType="end"/>
            </w:r>
          </w:hyperlink>
        </w:p>
        <w:p w14:paraId="5B93E598" w14:textId="3A7E7D91" w:rsidR="00DF33D6" w:rsidRDefault="00000000">
          <w:pPr>
            <w:pStyle w:val="TM2"/>
            <w:rPr>
              <w:rFonts w:asciiTheme="minorHAnsi" w:eastAsiaTheme="minorEastAsia" w:hAnsiTheme="minorHAnsi" w:cstheme="minorBidi"/>
              <w:noProof/>
              <w:sz w:val="22"/>
              <w:szCs w:val="22"/>
            </w:rPr>
          </w:pPr>
          <w:hyperlink w:anchor="_Toc97822358" w:history="1">
            <w:r w:rsidR="00DF33D6" w:rsidRPr="008A4950">
              <w:rPr>
                <w:rStyle w:val="Lienhypertexte"/>
                <w:rFonts w:ascii="Bookman Old Style" w:hAnsi="Bookman Old Style" w:cs="Arial"/>
                <w:b/>
                <w:bCs/>
                <w:noProof/>
              </w:rPr>
              <w:t>5.3.</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Gestion de stocks mis à la disposition</w:t>
            </w:r>
            <w:r w:rsidR="00DF33D6">
              <w:rPr>
                <w:noProof/>
                <w:webHidden/>
              </w:rPr>
              <w:tab/>
            </w:r>
            <w:r w:rsidR="00DF33D6">
              <w:rPr>
                <w:noProof/>
                <w:webHidden/>
              </w:rPr>
              <w:fldChar w:fldCharType="begin"/>
            </w:r>
            <w:r w:rsidR="00DF33D6">
              <w:rPr>
                <w:noProof/>
                <w:webHidden/>
              </w:rPr>
              <w:instrText xml:space="preserve"> PAGEREF _Toc97822358 \h </w:instrText>
            </w:r>
            <w:r w:rsidR="00DF33D6">
              <w:rPr>
                <w:noProof/>
                <w:webHidden/>
              </w:rPr>
            </w:r>
            <w:r w:rsidR="00DF33D6">
              <w:rPr>
                <w:noProof/>
                <w:webHidden/>
              </w:rPr>
              <w:fldChar w:fldCharType="separate"/>
            </w:r>
            <w:r w:rsidR="00DF33D6">
              <w:rPr>
                <w:noProof/>
                <w:webHidden/>
              </w:rPr>
              <w:t>21</w:t>
            </w:r>
            <w:r w:rsidR="00DF33D6">
              <w:rPr>
                <w:noProof/>
                <w:webHidden/>
              </w:rPr>
              <w:fldChar w:fldCharType="end"/>
            </w:r>
          </w:hyperlink>
        </w:p>
        <w:p w14:paraId="53DBE444" w14:textId="436E3999" w:rsidR="00DF33D6" w:rsidRDefault="00000000">
          <w:pPr>
            <w:pStyle w:val="TM3"/>
            <w:rPr>
              <w:rFonts w:asciiTheme="minorHAnsi" w:eastAsiaTheme="minorEastAsia" w:hAnsiTheme="minorHAnsi" w:cstheme="minorBidi"/>
              <w:noProof/>
              <w:sz w:val="22"/>
              <w:szCs w:val="22"/>
            </w:rPr>
          </w:pPr>
          <w:hyperlink w:anchor="_Toc97822359" w:history="1">
            <w:r w:rsidR="00DF33D6" w:rsidRPr="008A4950">
              <w:rPr>
                <w:rStyle w:val="Lienhypertexte"/>
                <w:rFonts w:ascii="Bookman Old Style" w:hAnsi="Bookman Old Style" w:cs="Arial"/>
                <w:i/>
                <w:iCs/>
                <w:noProof/>
              </w:rPr>
              <w:t>5.3.1.</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Stock initial mis en place</w:t>
            </w:r>
            <w:r w:rsidR="00DF33D6">
              <w:rPr>
                <w:noProof/>
                <w:webHidden/>
              </w:rPr>
              <w:tab/>
            </w:r>
            <w:r w:rsidR="00DF33D6">
              <w:rPr>
                <w:noProof/>
                <w:webHidden/>
              </w:rPr>
              <w:fldChar w:fldCharType="begin"/>
            </w:r>
            <w:r w:rsidR="00DF33D6">
              <w:rPr>
                <w:noProof/>
                <w:webHidden/>
              </w:rPr>
              <w:instrText xml:space="preserve"> PAGEREF _Toc97822359 \h </w:instrText>
            </w:r>
            <w:r w:rsidR="00DF33D6">
              <w:rPr>
                <w:noProof/>
                <w:webHidden/>
              </w:rPr>
            </w:r>
            <w:r w:rsidR="00DF33D6">
              <w:rPr>
                <w:noProof/>
                <w:webHidden/>
              </w:rPr>
              <w:fldChar w:fldCharType="separate"/>
            </w:r>
            <w:r w:rsidR="00DF33D6">
              <w:rPr>
                <w:noProof/>
                <w:webHidden/>
              </w:rPr>
              <w:t>21</w:t>
            </w:r>
            <w:r w:rsidR="00DF33D6">
              <w:rPr>
                <w:noProof/>
                <w:webHidden/>
              </w:rPr>
              <w:fldChar w:fldCharType="end"/>
            </w:r>
          </w:hyperlink>
        </w:p>
        <w:p w14:paraId="35D0DBB2" w14:textId="58111ABD" w:rsidR="00DF33D6" w:rsidRDefault="00000000">
          <w:pPr>
            <w:pStyle w:val="TM3"/>
            <w:rPr>
              <w:rFonts w:asciiTheme="minorHAnsi" w:eastAsiaTheme="minorEastAsia" w:hAnsiTheme="minorHAnsi" w:cstheme="minorBidi"/>
              <w:noProof/>
              <w:sz w:val="22"/>
              <w:szCs w:val="22"/>
            </w:rPr>
          </w:pPr>
          <w:hyperlink w:anchor="_Toc97822360" w:history="1">
            <w:r w:rsidR="00DF33D6" w:rsidRPr="008A4950">
              <w:rPr>
                <w:rStyle w:val="Lienhypertexte"/>
                <w:rFonts w:ascii="Bookman Old Style" w:hAnsi="Bookman Old Style" w:cs="Arial"/>
                <w:i/>
                <w:iCs/>
                <w:noProof/>
              </w:rPr>
              <w:t>5.3.2.</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Consentement des chefs de ménage au prêt</w:t>
            </w:r>
            <w:r w:rsidR="00DF33D6">
              <w:rPr>
                <w:noProof/>
                <w:webHidden/>
              </w:rPr>
              <w:tab/>
            </w:r>
            <w:r w:rsidR="00DF33D6">
              <w:rPr>
                <w:noProof/>
                <w:webHidden/>
              </w:rPr>
              <w:fldChar w:fldCharType="begin"/>
            </w:r>
            <w:r w:rsidR="00DF33D6">
              <w:rPr>
                <w:noProof/>
                <w:webHidden/>
              </w:rPr>
              <w:instrText xml:space="preserve"> PAGEREF _Toc97822360 \h </w:instrText>
            </w:r>
            <w:r w:rsidR="00DF33D6">
              <w:rPr>
                <w:noProof/>
                <w:webHidden/>
              </w:rPr>
            </w:r>
            <w:r w:rsidR="00DF33D6">
              <w:rPr>
                <w:noProof/>
                <w:webHidden/>
              </w:rPr>
              <w:fldChar w:fldCharType="separate"/>
            </w:r>
            <w:r w:rsidR="00DF33D6">
              <w:rPr>
                <w:noProof/>
                <w:webHidden/>
              </w:rPr>
              <w:t>22</w:t>
            </w:r>
            <w:r w:rsidR="00DF33D6">
              <w:rPr>
                <w:noProof/>
                <w:webHidden/>
              </w:rPr>
              <w:fldChar w:fldCharType="end"/>
            </w:r>
          </w:hyperlink>
        </w:p>
        <w:p w14:paraId="28891116" w14:textId="25F0E52C" w:rsidR="00DF33D6" w:rsidRDefault="00000000">
          <w:pPr>
            <w:pStyle w:val="TM3"/>
            <w:rPr>
              <w:rFonts w:asciiTheme="minorHAnsi" w:eastAsiaTheme="minorEastAsia" w:hAnsiTheme="minorHAnsi" w:cstheme="minorBidi"/>
              <w:noProof/>
              <w:sz w:val="22"/>
              <w:szCs w:val="22"/>
            </w:rPr>
          </w:pPr>
          <w:hyperlink w:anchor="_Toc97822361" w:history="1">
            <w:r w:rsidR="00DF33D6" w:rsidRPr="008A4950">
              <w:rPr>
                <w:rStyle w:val="Lienhypertexte"/>
                <w:rFonts w:ascii="Bookman Old Style" w:hAnsi="Bookman Old Style" w:cs="Arial"/>
                <w:i/>
                <w:iCs/>
                <w:noProof/>
              </w:rPr>
              <w:t>5.3.3.</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Quantités des vivres distribués 1ère et 2è cession</w:t>
            </w:r>
            <w:r w:rsidR="00DF33D6">
              <w:rPr>
                <w:noProof/>
                <w:webHidden/>
              </w:rPr>
              <w:tab/>
            </w:r>
            <w:r w:rsidR="00DF33D6">
              <w:rPr>
                <w:noProof/>
                <w:webHidden/>
              </w:rPr>
              <w:fldChar w:fldCharType="begin"/>
            </w:r>
            <w:r w:rsidR="00DF33D6">
              <w:rPr>
                <w:noProof/>
                <w:webHidden/>
              </w:rPr>
              <w:instrText xml:space="preserve"> PAGEREF _Toc97822361 \h </w:instrText>
            </w:r>
            <w:r w:rsidR="00DF33D6">
              <w:rPr>
                <w:noProof/>
                <w:webHidden/>
              </w:rPr>
            </w:r>
            <w:r w:rsidR="00DF33D6">
              <w:rPr>
                <w:noProof/>
                <w:webHidden/>
              </w:rPr>
              <w:fldChar w:fldCharType="separate"/>
            </w:r>
            <w:r w:rsidR="00DF33D6">
              <w:rPr>
                <w:noProof/>
                <w:webHidden/>
              </w:rPr>
              <w:t>23</w:t>
            </w:r>
            <w:r w:rsidR="00DF33D6">
              <w:rPr>
                <w:noProof/>
                <w:webHidden/>
              </w:rPr>
              <w:fldChar w:fldCharType="end"/>
            </w:r>
          </w:hyperlink>
        </w:p>
        <w:p w14:paraId="2D612F2B" w14:textId="5F02EBE1" w:rsidR="00DF33D6" w:rsidRDefault="00000000">
          <w:pPr>
            <w:pStyle w:val="TM3"/>
            <w:rPr>
              <w:rFonts w:asciiTheme="minorHAnsi" w:eastAsiaTheme="minorEastAsia" w:hAnsiTheme="minorHAnsi" w:cstheme="minorBidi"/>
              <w:noProof/>
              <w:sz w:val="22"/>
              <w:szCs w:val="22"/>
            </w:rPr>
          </w:pPr>
          <w:hyperlink w:anchor="_Toc97822362" w:history="1">
            <w:r w:rsidR="00DF33D6" w:rsidRPr="008A4950">
              <w:rPr>
                <w:rStyle w:val="Lienhypertexte"/>
                <w:rFonts w:ascii="Bookman Old Style" w:hAnsi="Bookman Old Style" w:cs="Arial"/>
                <w:i/>
                <w:iCs/>
                <w:noProof/>
              </w:rPr>
              <w:t>5.3.4.</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Périodes de cession des vivres aux ménages</w:t>
            </w:r>
            <w:r w:rsidR="00DF33D6">
              <w:rPr>
                <w:noProof/>
                <w:webHidden/>
              </w:rPr>
              <w:tab/>
            </w:r>
            <w:r w:rsidR="00DF33D6">
              <w:rPr>
                <w:noProof/>
                <w:webHidden/>
              </w:rPr>
              <w:fldChar w:fldCharType="begin"/>
            </w:r>
            <w:r w:rsidR="00DF33D6">
              <w:rPr>
                <w:noProof/>
                <w:webHidden/>
              </w:rPr>
              <w:instrText xml:space="preserve"> PAGEREF _Toc97822362 \h </w:instrText>
            </w:r>
            <w:r w:rsidR="00DF33D6">
              <w:rPr>
                <w:noProof/>
                <w:webHidden/>
              </w:rPr>
            </w:r>
            <w:r w:rsidR="00DF33D6">
              <w:rPr>
                <w:noProof/>
                <w:webHidden/>
              </w:rPr>
              <w:fldChar w:fldCharType="separate"/>
            </w:r>
            <w:r w:rsidR="00DF33D6">
              <w:rPr>
                <w:noProof/>
                <w:webHidden/>
              </w:rPr>
              <w:t>23</w:t>
            </w:r>
            <w:r w:rsidR="00DF33D6">
              <w:rPr>
                <w:noProof/>
                <w:webHidden/>
              </w:rPr>
              <w:fldChar w:fldCharType="end"/>
            </w:r>
          </w:hyperlink>
        </w:p>
        <w:p w14:paraId="045B449D" w14:textId="0DF08593" w:rsidR="00DF33D6" w:rsidRDefault="00000000">
          <w:pPr>
            <w:pStyle w:val="TM3"/>
            <w:rPr>
              <w:rFonts w:asciiTheme="minorHAnsi" w:eastAsiaTheme="minorEastAsia" w:hAnsiTheme="minorHAnsi" w:cstheme="minorBidi"/>
              <w:noProof/>
              <w:sz w:val="22"/>
              <w:szCs w:val="22"/>
            </w:rPr>
          </w:pPr>
          <w:hyperlink w:anchor="_Toc97822363" w:history="1">
            <w:r w:rsidR="00DF33D6" w:rsidRPr="008A4950">
              <w:rPr>
                <w:rStyle w:val="Lienhypertexte"/>
                <w:rFonts w:ascii="Bookman Old Style" w:hAnsi="Bookman Old Style" w:cs="Arial"/>
                <w:i/>
                <w:iCs/>
                <w:noProof/>
              </w:rPr>
              <w:t>5.3.5.</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Sources de remboursement de prêt</w:t>
            </w:r>
            <w:r w:rsidR="00DF33D6">
              <w:rPr>
                <w:noProof/>
                <w:webHidden/>
              </w:rPr>
              <w:tab/>
            </w:r>
            <w:r w:rsidR="00DF33D6">
              <w:rPr>
                <w:noProof/>
                <w:webHidden/>
              </w:rPr>
              <w:fldChar w:fldCharType="begin"/>
            </w:r>
            <w:r w:rsidR="00DF33D6">
              <w:rPr>
                <w:noProof/>
                <w:webHidden/>
              </w:rPr>
              <w:instrText xml:space="preserve"> PAGEREF _Toc97822363 \h </w:instrText>
            </w:r>
            <w:r w:rsidR="00DF33D6">
              <w:rPr>
                <w:noProof/>
                <w:webHidden/>
              </w:rPr>
            </w:r>
            <w:r w:rsidR="00DF33D6">
              <w:rPr>
                <w:noProof/>
                <w:webHidden/>
              </w:rPr>
              <w:fldChar w:fldCharType="separate"/>
            </w:r>
            <w:r w:rsidR="00DF33D6">
              <w:rPr>
                <w:noProof/>
                <w:webHidden/>
              </w:rPr>
              <w:t>24</w:t>
            </w:r>
            <w:r w:rsidR="00DF33D6">
              <w:rPr>
                <w:noProof/>
                <w:webHidden/>
              </w:rPr>
              <w:fldChar w:fldCharType="end"/>
            </w:r>
          </w:hyperlink>
        </w:p>
        <w:p w14:paraId="3C63F328" w14:textId="1AB9BE20" w:rsidR="00DF33D6" w:rsidRDefault="00000000">
          <w:pPr>
            <w:pStyle w:val="TM3"/>
            <w:rPr>
              <w:rFonts w:asciiTheme="minorHAnsi" w:eastAsiaTheme="minorEastAsia" w:hAnsiTheme="minorHAnsi" w:cstheme="minorBidi"/>
              <w:noProof/>
              <w:sz w:val="22"/>
              <w:szCs w:val="22"/>
            </w:rPr>
          </w:pPr>
          <w:hyperlink w:anchor="_Toc97822364" w:history="1">
            <w:r w:rsidR="00DF33D6" w:rsidRPr="008A4950">
              <w:rPr>
                <w:rStyle w:val="Lienhypertexte"/>
                <w:rFonts w:ascii="Bookman Old Style" w:hAnsi="Bookman Old Style" w:cs="Arial"/>
                <w:i/>
                <w:iCs/>
                <w:noProof/>
              </w:rPr>
              <w:t>5.3.6.</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Situation de remboursement de prêt</w:t>
            </w:r>
            <w:r w:rsidR="00DF33D6">
              <w:rPr>
                <w:noProof/>
                <w:webHidden/>
              </w:rPr>
              <w:tab/>
            </w:r>
            <w:r w:rsidR="00DF33D6">
              <w:rPr>
                <w:noProof/>
                <w:webHidden/>
              </w:rPr>
              <w:fldChar w:fldCharType="begin"/>
            </w:r>
            <w:r w:rsidR="00DF33D6">
              <w:rPr>
                <w:noProof/>
                <w:webHidden/>
              </w:rPr>
              <w:instrText xml:space="preserve"> PAGEREF _Toc97822364 \h </w:instrText>
            </w:r>
            <w:r w:rsidR="00DF33D6">
              <w:rPr>
                <w:noProof/>
                <w:webHidden/>
              </w:rPr>
            </w:r>
            <w:r w:rsidR="00DF33D6">
              <w:rPr>
                <w:noProof/>
                <w:webHidden/>
              </w:rPr>
              <w:fldChar w:fldCharType="separate"/>
            </w:r>
            <w:r w:rsidR="00DF33D6">
              <w:rPr>
                <w:noProof/>
                <w:webHidden/>
              </w:rPr>
              <w:t>25</w:t>
            </w:r>
            <w:r w:rsidR="00DF33D6">
              <w:rPr>
                <w:noProof/>
                <w:webHidden/>
              </w:rPr>
              <w:fldChar w:fldCharType="end"/>
            </w:r>
          </w:hyperlink>
        </w:p>
        <w:p w14:paraId="6174213E" w14:textId="11B73396" w:rsidR="00DF33D6" w:rsidRDefault="00000000">
          <w:pPr>
            <w:pStyle w:val="TM2"/>
            <w:rPr>
              <w:rFonts w:asciiTheme="minorHAnsi" w:eastAsiaTheme="minorEastAsia" w:hAnsiTheme="minorHAnsi" w:cstheme="minorBidi"/>
              <w:noProof/>
              <w:sz w:val="22"/>
              <w:szCs w:val="22"/>
            </w:rPr>
          </w:pPr>
          <w:hyperlink w:anchor="_Toc97822365" w:history="1">
            <w:r w:rsidR="00DF33D6" w:rsidRPr="008A4950">
              <w:rPr>
                <w:rStyle w:val="Lienhypertexte"/>
                <w:rFonts w:ascii="Bookman Old Style" w:hAnsi="Bookman Old Style" w:cs="Arial"/>
                <w:b/>
                <w:bCs/>
                <w:noProof/>
              </w:rPr>
              <w:t>5.4.</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Effets-impacts de GFS</w:t>
            </w:r>
            <w:r w:rsidR="00DF33D6">
              <w:rPr>
                <w:noProof/>
                <w:webHidden/>
              </w:rPr>
              <w:tab/>
            </w:r>
            <w:r w:rsidR="00DF33D6">
              <w:rPr>
                <w:noProof/>
                <w:webHidden/>
              </w:rPr>
              <w:fldChar w:fldCharType="begin"/>
            </w:r>
            <w:r w:rsidR="00DF33D6">
              <w:rPr>
                <w:noProof/>
                <w:webHidden/>
              </w:rPr>
              <w:instrText xml:space="preserve"> PAGEREF _Toc97822365 \h </w:instrText>
            </w:r>
            <w:r w:rsidR="00DF33D6">
              <w:rPr>
                <w:noProof/>
                <w:webHidden/>
              </w:rPr>
            </w:r>
            <w:r w:rsidR="00DF33D6">
              <w:rPr>
                <w:noProof/>
                <w:webHidden/>
              </w:rPr>
              <w:fldChar w:fldCharType="separate"/>
            </w:r>
            <w:r w:rsidR="00DF33D6">
              <w:rPr>
                <w:noProof/>
                <w:webHidden/>
              </w:rPr>
              <w:t>26</w:t>
            </w:r>
            <w:r w:rsidR="00DF33D6">
              <w:rPr>
                <w:noProof/>
                <w:webHidden/>
              </w:rPr>
              <w:fldChar w:fldCharType="end"/>
            </w:r>
          </w:hyperlink>
        </w:p>
        <w:p w14:paraId="3F2C2DF3" w14:textId="042909C5" w:rsidR="00DF33D6" w:rsidRDefault="00000000">
          <w:pPr>
            <w:pStyle w:val="TM3"/>
            <w:rPr>
              <w:rFonts w:asciiTheme="minorHAnsi" w:eastAsiaTheme="minorEastAsia" w:hAnsiTheme="minorHAnsi" w:cstheme="minorBidi"/>
              <w:noProof/>
              <w:sz w:val="22"/>
              <w:szCs w:val="22"/>
            </w:rPr>
          </w:pPr>
          <w:hyperlink w:anchor="_Toc97822366" w:history="1">
            <w:r w:rsidR="00DF33D6" w:rsidRPr="008A4950">
              <w:rPr>
                <w:rStyle w:val="Lienhypertexte"/>
                <w:rFonts w:ascii="Bookman Old Style" w:hAnsi="Bookman Old Style" w:cs="Arial"/>
                <w:i/>
                <w:iCs/>
                <w:noProof/>
              </w:rPr>
              <w:t>5.4.1.</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Réduction de nombre de jour de soudure</w:t>
            </w:r>
            <w:r w:rsidR="00DF33D6">
              <w:rPr>
                <w:noProof/>
                <w:webHidden/>
              </w:rPr>
              <w:tab/>
            </w:r>
            <w:r w:rsidR="00DF33D6">
              <w:rPr>
                <w:noProof/>
                <w:webHidden/>
              </w:rPr>
              <w:fldChar w:fldCharType="begin"/>
            </w:r>
            <w:r w:rsidR="00DF33D6">
              <w:rPr>
                <w:noProof/>
                <w:webHidden/>
              </w:rPr>
              <w:instrText xml:space="preserve"> PAGEREF _Toc97822366 \h </w:instrText>
            </w:r>
            <w:r w:rsidR="00DF33D6">
              <w:rPr>
                <w:noProof/>
                <w:webHidden/>
              </w:rPr>
            </w:r>
            <w:r w:rsidR="00DF33D6">
              <w:rPr>
                <w:noProof/>
                <w:webHidden/>
              </w:rPr>
              <w:fldChar w:fldCharType="separate"/>
            </w:r>
            <w:r w:rsidR="00DF33D6">
              <w:rPr>
                <w:noProof/>
                <w:webHidden/>
              </w:rPr>
              <w:t>26</w:t>
            </w:r>
            <w:r w:rsidR="00DF33D6">
              <w:rPr>
                <w:noProof/>
                <w:webHidden/>
              </w:rPr>
              <w:fldChar w:fldCharType="end"/>
            </w:r>
          </w:hyperlink>
        </w:p>
        <w:p w14:paraId="1CEBA8BC" w14:textId="4EFF9E32" w:rsidR="00DF33D6" w:rsidRDefault="00000000">
          <w:pPr>
            <w:pStyle w:val="TM3"/>
            <w:rPr>
              <w:rFonts w:asciiTheme="minorHAnsi" w:eastAsiaTheme="minorEastAsia" w:hAnsiTheme="minorHAnsi" w:cstheme="minorBidi"/>
              <w:noProof/>
              <w:sz w:val="22"/>
              <w:szCs w:val="22"/>
            </w:rPr>
          </w:pPr>
          <w:hyperlink w:anchor="_Toc97822367" w:history="1">
            <w:r w:rsidR="00DF33D6" w:rsidRPr="008A4950">
              <w:rPr>
                <w:rStyle w:val="Lienhypertexte"/>
                <w:rFonts w:ascii="Bookman Old Style" w:hAnsi="Bookman Old Style" w:cs="Arial"/>
                <w:i/>
                <w:iCs/>
                <w:noProof/>
              </w:rPr>
              <w:t>5.4.2.</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Recours à la main d’œuvre agricole</w:t>
            </w:r>
            <w:r w:rsidR="00DF33D6">
              <w:rPr>
                <w:noProof/>
                <w:webHidden/>
              </w:rPr>
              <w:tab/>
            </w:r>
            <w:r w:rsidR="00DF33D6">
              <w:rPr>
                <w:noProof/>
                <w:webHidden/>
              </w:rPr>
              <w:fldChar w:fldCharType="begin"/>
            </w:r>
            <w:r w:rsidR="00DF33D6">
              <w:rPr>
                <w:noProof/>
                <w:webHidden/>
              </w:rPr>
              <w:instrText xml:space="preserve"> PAGEREF _Toc97822367 \h </w:instrText>
            </w:r>
            <w:r w:rsidR="00DF33D6">
              <w:rPr>
                <w:noProof/>
                <w:webHidden/>
              </w:rPr>
            </w:r>
            <w:r w:rsidR="00DF33D6">
              <w:rPr>
                <w:noProof/>
                <w:webHidden/>
              </w:rPr>
              <w:fldChar w:fldCharType="separate"/>
            </w:r>
            <w:r w:rsidR="00DF33D6">
              <w:rPr>
                <w:noProof/>
                <w:webHidden/>
              </w:rPr>
              <w:t>30</w:t>
            </w:r>
            <w:r w:rsidR="00DF33D6">
              <w:rPr>
                <w:noProof/>
                <w:webHidden/>
              </w:rPr>
              <w:fldChar w:fldCharType="end"/>
            </w:r>
          </w:hyperlink>
        </w:p>
        <w:p w14:paraId="17B4E587" w14:textId="35D4F12E" w:rsidR="00DF33D6" w:rsidRDefault="00000000">
          <w:pPr>
            <w:pStyle w:val="TM3"/>
            <w:rPr>
              <w:rFonts w:asciiTheme="minorHAnsi" w:eastAsiaTheme="minorEastAsia" w:hAnsiTheme="minorHAnsi" w:cstheme="minorBidi"/>
              <w:noProof/>
              <w:sz w:val="22"/>
              <w:szCs w:val="22"/>
            </w:rPr>
          </w:pPr>
          <w:hyperlink w:anchor="_Toc97822368" w:history="1">
            <w:r w:rsidR="00DF33D6" w:rsidRPr="008A4950">
              <w:rPr>
                <w:rStyle w:val="Lienhypertexte"/>
                <w:rFonts w:ascii="Bookman Old Style" w:hAnsi="Bookman Old Style" w:cs="Arial"/>
                <w:i/>
                <w:iCs/>
                <w:noProof/>
              </w:rPr>
              <w:t>5.4.3.</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Sécurité alimentaire et nutritionnelle</w:t>
            </w:r>
            <w:r w:rsidR="00DF33D6">
              <w:rPr>
                <w:noProof/>
                <w:webHidden/>
              </w:rPr>
              <w:tab/>
            </w:r>
            <w:r w:rsidR="00DF33D6">
              <w:rPr>
                <w:noProof/>
                <w:webHidden/>
              </w:rPr>
              <w:fldChar w:fldCharType="begin"/>
            </w:r>
            <w:r w:rsidR="00DF33D6">
              <w:rPr>
                <w:noProof/>
                <w:webHidden/>
              </w:rPr>
              <w:instrText xml:space="preserve"> PAGEREF _Toc97822368 \h </w:instrText>
            </w:r>
            <w:r w:rsidR="00DF33D6">
              <w:rPr>
                <w:noProof/>
                <w:webHidden/>
              </w:rPr>
            </w:r>
            <w:r w:rsidR="00DF33D6">
              <w:rPr>
                <w:noProof/>
                <w:webHidden/>
              </w:rPr>
              <w:fldChar w:fldCharType="separate"/>
            </w:r>
            <w:r w:rsidR="00DF33D6">
              <w:rPr>
                <w:noProof/>
                <w:webHidden/>
              </w:rPr>
              <w:t>35</w:t>
            </w:r>
            <w:r w:rsidR="00DF33D6">
              <w:rPr>
                <w:noProof/>
                <w:webHidden/>
              </w:rPr>
              <w:fldChar w:fldCharType="end"/>
            </w:r>
          </w:hyperlink>
        </w:p>
        <w:p w14:paraId="11D62C7C" w14:textId="2EFF6DCA" w:rsidR="00DF33D6" w:rsidRDefault="00000000">
          <w:pPr>
            <w:pStyle w:val="TM3"/>
            <w:rPr>
              <w:rFonts w:asciiTheme="minorHAnsi" w:eastAsiaTheme="minorEastAsia" w:hAnsiTheme="minorHAnsi" w:cstheme="minorBidi"/>
              <w:noProof/>
              <w:sz w:val="22"/>
              <w:szCs w:val="22"/>
            </w:rPr>
          </w:pPr>
          <w:hyperlink w:anchor="_Toc97822369" w:history="1">
            <w:r w:rsidR="00DF33D6" w:rsidRPr="008A4950">
              <w:rPr>
                <w:rStyle w:val="Lienhypertexte"/>
                <w:rFonts w:ascii="Bookman Old Style" w:hAnsi="Bookman Old Style" w:cs="Arial"/>
                <w:i/>
                <w:iCs/>
                <w:noProof/>
              </w:rPr>
              <w:t>5.4.4.</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Recours au crédit</w:t>
            </w:r>
            <w:r w:rsidR="00DF33D6">
              <w:rPr>
                <w:noProof/>
                <w:webHidden/>
              </w:rPr>
              <w:tab/>
            </w:r>
            <w:r w:rsidR="00DF33D6">
              <w:rPr>
                <w:noProof/>
                <w:webHidden/>
              </w:rPr>
              <w:fldChar w:fldCharType="begin"/>
            </w:r>
            <w:r w:rsidR="00DF33D6">
              <w:rPr>
                <w:noProof/>
                <w:webHidden/>
              </w:rPr>
              <w:instrText xml:space="preserve"> PAGEREF _Toc97822369 \h </w:instrText>
            </w:r>
            <w:r w:rsidR="00DF33D6">
              <w:rPr>
                <w:noProof/>
                <w:webHidden/>
              </w:rPr>
            </w:r>
            <w:r w:rsidR="00DF33D6">
              <w:rPr>
                <w:noProof/>
                <w:webHidden/>
              </w:rPr>
              <w:fldChar w:fldCharType="separate"/>
            </w:r>
            <w:r w:rsidR="00DF33D6">
              <w:rPr>
                <w:noProof/>
                <w:webHidden/>
              </w:rPr>
              <w:t>37</w:t>
            </w:r>
            <w:r w:rsidR="00DF33D6">
              <w:rPr>
                <w:noProof/>
                <w:webHidden/>
              </w:rPr>
              <w:fldChar w:fldCharType="end"/>
            </w:r>
          </w:hyperlink>
        </w:p>
        <w:p w14:paraId="60754C9D" w14:textId="67A0398E" w:rsidR="00DF33D6" w:rsidRDefault="00000000">
          <w:pPr>
            <w:pStyle w:val="TM2"/>
            <w:rPr>
              <w:rFonts w:asciiTheme="minorHAnsi" w:eastAsiaTheme="minorEastAsia" w:hAnsiTheme="minorHAnsi" w:cstheme="minorBidi"/>
              <w:noProof/>
              <w:sz w:val="22"/>
              <w:szCs w:val="22"/>
            </w:rPr>
          </w:pPr>
          <w:hyperlink w:anchor="_Toc97822370" w:history="1">
            <w:r w:rsidR="00DF33D6" w:rsidRPr="008A4950">
              <w:rPr>
                <w:rStyle w:val="Lienhypertexte"/>
                <w:rFonts w:ascii="Bookman Old Style" w:hAnsi="Bookman Old Style" w:cs="Arial"/>
                <w:b/>
                <w:bCs/>
                <w:noProof/>
              </w:rPr>
              <w:t>5.5.</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bCs/>
                <w:noProof/>
              </w:rPr>
              <w:t>Comités de gestion (COGES) des GFS</w:t>
            </w:r>
            <w:r w:rsidR="00DF33D6">
              <w:rPr>
                <w:noProof/>
                <w:webHidden/>
              </w:rPr>
              <w:tab/>
            </w:r>
            <w:r w:rsidR="00DF33D6">
              <w:rPr>
                <w:noProof/>
                <w:webHidden/>
              </w:rPr>
              <w:fldChar w:fldCharType="begin"/>
            </w:r>
            <w:r w:rsidR="00DF33D6">
              <w:rPr>
                <w:noProof/>
                <w:webHidden/>
              </w:rPr>
              <w:instrText xml:space="preserve"> PAGEREF _Toc97822370 \h </w:instrText>
            </w:r>
            <w:r w:rsidR="00DF33D6">
              <w:rPr>
                <w:noProof/>
                <w:webHidden/>
              </w:rPr>
            </w:r>
            <w:r w:rsidR="00DF33D6">
              <w:rPr>
                <w:noProof/>
                <w:webHidden/>
              </w:rPr>
              <w:fldChar w:fldCharType="separate"/>
            </w:r>
            <w:r w:rsidR="00DF33D6">
              <w:rPr>
                <w:noProof/>
                <w:webHidden/>
              </w:rPr>
              <w:t>39</w:t>
            </w:r>
            <w:r w:rsidR="00DF33D6">
              <w:rPr>
                <w:noProof/>
                <w:webHidden/>
              </w:rPr>
              <w:fldChar w:fldCharType="end"/>
            </w:r>
          </w:hyperlink>
        </w:p>
        <w:p w14:paraId="0F090C63" w14:textId="4030DBF3" w:rsidR="00DF33D6" w:rsidRDefault="00000000">
          <w:pPr>
            <w:pStyle w:val="TM3"/>
            <w:rPr>
              <w:rFonts w:asciiTheme="minorHAnsi" w:eastAsiaTheme="minorEastAsia" w:hAnsiTheme="minorHAnsi" w:cstheme="minorBidi"/>
              <w:noProof/>
              <w:sz w:val="22"/>
              <w:szCs w:val="22"/>
            </w:rPr>
          </w:pPr>
          <w:hyperlink w:anchor="_Toc97822371" w:history="1">
            <w:r w:rsidR="00DF33D6" w:rsidRPr="008A4950">
              <w:rPr>
                <w:rStyle w:val="Lienhypertexte"/>
                <w:rFonts w:ascii="Bookman Old Style" w:hAnsi="Bookman Old Style" w:cs="Arial"/>
                <w:i/>
                <w:iCs/>
                <w:noProof/>
              </w:rPr>
              <w:t>5.5.1.</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Tenue de réunion</w:t>
            </w:r>
            <w:r w:rsidR="00DF33D6">
              <w:rPr>
                <w:noProof/>
                <w:webHidden/>
              </w:rPr>
              <w:tab/>
            </w:r>
            <w:r w:rsidR="00DF33D6">
              <w:rPr>
                <w:noProof/>
                <w:webHidden/>
              </w:rPr>
              <w:fldChar w:fldCharType="begin"/>
            </w:r>
            <w:r w:rsidR="00DF33D6">
              <w:rPr>
                <w:noProof/>
                <w:webHidden/>
              </w:rPr>
              <w:instrText xml:space="preserve"> PAGEREF _Toc97822371 \h </w:instrText>
            </w:r>
            <w:r w:rsidR="00DF33D6">
              <w:rPr>
                <w:noProof/>
                <w:webHidden/>
              </w:rPr>
            </w:r>
            <w:r w:rsidR="00DF33D6">
              <w:rPr>
                <w:noProof/>
                <w:webHidden/>
              </w:rPr>
              <w:fldChar w:fldCharType="separate"/>
            </w:r>
            <w:r w:rsidR="00DF33D6">
              <w:rPr>
                <w:noProof/>
                <w:webHidden/>
              </w:rPr>
              <w:t>39</w:t>
            </w:r>
            <w:r w:rsidR="00DF33D6">
              <w:rPr>
                <w:noProof/>
                <w:webHidden/>
              </w:rPr>
              <w:fldChar w:fldCharType="end"/>
            </w:r>
          </w:hyperlink>
        </w:p>
        <w:p w14:paraId="692CF446" w14:textId="50B983D9" w:rsidR="00DF33D6" w:rsidRDefault="00000000">
          <w:pPr>
            <w:pStyle w:val="TM3"/>
            <w:rPr>
              <w:rFonts w:asciiTheme="minorHAnsi" w:eastAsiaTheme="minorEastAsia" w:hAnsiTheme="minorHAnsi" w:cstheme="minorBidi"/>
              <w:noProof/>
              <w:sz w:val="22"/>
              <w:szCs w:val="22"/>
            </w:rPr>
          </w:pPr>
          <w:hyperlink w:anchor="_Toc97822372" w:history="1">
            <w:r w:rsidR="00DF33D6" w:rsidRPr="008A4950">
              <w:rPr>
                <w:rStyle w:val="Lienhypertexte"/>
                <w:rFonts w:ascii="Bookman Old Style" w:hAnsi="Bookman Old Style" w:cs="Arial"/>
                <w:i/>
                <w:iCs/>
                <w:noProof/>
              </w:rPr>
              <w:t>5.5.2.</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Tenue des Assemblées Générales (AG)</w:t>
            </w:r>
            <w:r w:rsidR="00DF33D6">
              <w:rPr>
                <w:noProof/>
                <w:webHidden/>
              </w:rPr>
              <w:tab/>
            </w:r>
            <w:r w:rsidR="00DF33D6">
              <w:rPr>
                <w:noProof/>
                <w:webHidden/>
              </w:rPr>
              <w:fldChar w:fldCharType="begin"/>
            </w:r>
            <w:r w:rsidR="00DF33D6">
              <w:rPr>
                <w:noProof/>
                <w:webHidden/>
              </w:rPr>
              <w:instrText xml:space="preserve"> PAGEREF _Toc97822372 \h </w:instrText>
            </w:r>
            <w:r w:rsidR="00DF33D6">
              <w:rPr>
                <w:noProof/>
                <w:webHidden/>
              </w:rPr>
            </w:r>
            <w:r w:rsidR="00DF33D6">
              <w:rPr>
                <w:noProof/>
                <w:webHidden/>
              </w:rPr>
              <w:fldChar w:fldCharType="separate"/>
            </w:r>
            <w:r w:rsidR="00DF33D6">
              <w:rPr>
                <w:noProof/>
                <w:webHidden/>
              </w:rPr>
              <w:t>41</w:t>
            </w:r>
            <w:r w:rsidR="00DF33D6">
              <w:rPr>
                <w:noProof/>
                <w:webHidden/>
              </w:rPr>
              <w:fldChar w:fldCharType="end"/>
            </w:r>
          </w:hyperlink>
        </w:p>
        <w:p w14:paraId="7CA4181D" w14:textId="2DCD76C6" w:rsidR="00DF33D6" w:rsidRDefault="00000000">
          <w:pPr>
            <w:pStyle w:val="TM3"/>
            <w:rPr>
              <w:rFonts w:asciiTheme="minorHAnsi" w:eastAsiaTheme="minorEastAsia" w:hAnsiTheme="minorHAnsi" w:cstheme="minorBidi"/>
              <w:noProof/>
              <w:sz w:val="22"/>
              <w:szCs w:val="22"/>
            </w:rPr>
          </w:pPr>
          <w:hyperlink w:anchor="_Toc97822373" w:history="1">
            <w:r w:rsidR="00DF33D6" w:rsidRPr="008A4950">
              <w:rPr>
                <w:rStyle w:val="Lienhypertexte"/>
                <w:rFonts w:ascii="Bookman Old Style" w:hAnsi="Bookman Old Style" w:cs="Arial"/>
                <w:i/>
                <w:iCs/>
                <w:noProof/>
              </w:rPr>
              <w:t>5.5.3.</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Tenue des documents de gestion</w:t>
            </w:r>
            <w:r w:rsidR="00DF33D6">
              <w:rPr>
                <w:noProof/>
                <w:webHidden/>
              </w:rPr>
              <w:tab/>
            </w:r>
            <w:r w:rsidR="00DF33D6">
              <w:rPr>
                <w:noProof/>
                <w:webHidden/>
              </w:rPr>
              <w:fldChar w:fldCharType="begin"/>
            </w:r>
            <w:r w:rsidR="00DF33D6">
              <w:rPr>
                <w:noProof/>
                <w:webHidden/>
              </w:rPr>
              <w:instrText xml:space="preserve"> PAGEREF _Toc97822373 \h </w:instrText>
            </w:r>
            <w:r w:rsidR="00DF33D6">
              <w:rPr>
                <w:noProof/>
                <w:webHidden/>
              </w:rPr>
            </w:r>
            <w:r w:rsidR="00DF33D6">
              <w:rPr>
                <w:noProof/>
                <w:webHidden/>
              </w:rPr>
              <w:fldChar w:fldCharType="separate"/>
            </w:r>
            <w:r w:rsidR="00DF33D6">
              <w:rPr>
                <w:noProof/>
                <w:webHidden/>
              </w:rPr>
              <w:t>43</w:t>
            </w:r>
            <w:r w:rsidR="00DF33D6">
              <w:rPr>
                <w:noProof/>
                <w:webHidden/>
              </w:rPr>
              <w:fldChar w:fldCharType="end"/>
            </w:r>
          </w:hyperlink>
        </w:p>
        <w:p w14:paraId="3E3E05F3" w14:textId="54456680" w:rsidR="00DF33D6" w:rsidRDefault="00000000">
          <w:pPr>
            <w:pStyle w:val="TM3"/>
            <w:rPr>
              <w:rFonts w:asciiTheme="minorHAnsi" w:eastAsiaTheme="minorEastAsia" w:hAnsiTheme="minorHAnsi" w:cstheme="minorBidi"/>
              <w:noProof/>
              <w:sz w:val="22"/>
              <w:szCs w:val="22"/>
            </w:rPr>
          </w:pPr>
          <w:hyperlink w:anchor="_Toc97822374" w:history="1">
            <w:r w:rsidR="00DF33D6" w:rsidRPr="008A4950">
              <w:rPr>
                <w:rStyle w:val="Lienhypertexte"/>
                <w:rFonts w:ascii="Bookman Old Style" w:hAnsi="Bookman Old Style" w:cs="Arial"/>
                <w:i/>
                <w:iCs/>
                <w:noProof/>
              </w:rPr>
              <w:t>5.5.4.</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Satisfaction des membres de COGES GFS</w:t>
            </w:r>
            <w:r w:rsidR="00DF33D6">
              <w:rPr>
                <w:noProof/>
                <w:webHidden/>
              </w:rPr>
              <w:tab/>
            </w:r>
            <w:r w:rsidR="00DF33D6">
              <w:rPr>
                <w:noProof/>
                <w:webHidden/>
              </w:rPr>
              <w:fldChar w:fldCharType="begin"/>
            </w:r>
            <w:r w:rsidR="00DF33D6">
              <w:rPr>
                <w:noProof/>
                <w:webHidden/>
              </w:rPr>
              <w:instrText xml:space="preserve"> PAGEREF _Toc97822374 \h </w:instrText>
            </w:r>
            <w:r w:rsidR="00DF33D6">
              <w:rPr>
                <w:noProof/>
                <w:webHidden/>
              </w:rPr>
            </w:r>
            <w:r w:rsidR="00DF33D6">
              <w:rPr>
                <w:noProof/>
                <w:webHidden/>
              </w:rPr>
              <w:fldChar w:fldCharType="separate"/>
            </w:r>
            <w:r w:rsidR="00DF33D6">
              <w:rPr>
                <w:noProof/>
                <w:webHidden/>
              </w:rPr>
              <w:t>44</w:t>
            </w:r>
            <w:r w:rsidR="00DF33D6">
              <w:rPr>
                <w:noProof/>
                <w:webHidden/>
              </w:rPr>
              <w:fldChar w:fldCharType="end"/>
            </w:r>
          </w:hyperlink>
        </w:p>
        <w:p w14:paraId="6C770707" w14:textId="41BD64FC" w:rsidR="00DF33D6" w:rsidRDefault="00000000">
          <w:pPr>
            <w:pStyle w:val="TM3"/>
            <w:rPr>
              <w:rFonts w:asciiTheme="minorHAnsi" w:eastAsiaTheme="minorEastAsia" w:hAnsiTheme="minorHAnsi" w:cstheme="minorBidi"/>
              <w:noProof/>
              <w:sz w:val="22"/>
              <w:szCs w:val="22"/>
            </w:rPr>
          </w:pPr>
          <w:hyperlink w:anchor="_Toc97822375" w:history="1">
            <w:r w:rsidR="00DF33D6" w:rsidRPr="008A4950">
              <w:rPr>
                <w:rStyle w:val="Lienhypertexte"/>
                <w:rFonts w:ascii="Bookman Old Style" w:hAnsi="Bookman Old Style" w:cs="Arial"/>
                <w:i/>
                <w:iCs/>
                <w:noProof/>
              </w:rPr>
              <w:t>5.5.5.</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Appréciation des bénéficiaires</w:t>
            </w:r>
            <w:r w:rsidR="00DF33D6">
              <w:rPr>
                <w:noProof/>
                <w:webHidden/>
              </w:rPr>
              <w:tab/>
            </w:r>
            <w:r w:rsidR="00DF33D6">
              <w:rPr>
                <w:noProof/>
                <w:webHidden/>
              </w:rPr>
              <w:fldChar w:fldCharType="begin"/>
            </w:r>
            <w:r w:rsidR="00DF33D6">
              <w:rPr>
                <w:noProof/>
                <w:webHidden/>
              </w:rPr>
              <w:instrText xml:space="preserve"> PAGEREF _Toc97822375 \h </w:instrText>
            </w:r>
            <w:r w:rsidR="00DF33D6">
              <w:rPr>
                <w:noProof/>
                <w:webHidden/>
              </w:rPr>
            </w:r>
            <w:r w:rsidR="00DF33D6">
              <w:rPr>
                <w:noProof/>
                <w:webHidden/>
              </w:rPr>
              <w:fldChar w:fldCharType="separate"/>
            </w:r>
            <w:r w:rsidR="00DF33D6">
              <w:rPr>
                <w:noProof/>
                <w:webHidden/>
              </w:rPr>
              <w:t>45</w:t>
            </w:r>
            <w:r w:rsidR="00DF33D6">
              <w:rPr>
                <w:noProof/>
                <w:webHidden/>
              </w:rPr>
              <w:fldChar w:fldCharType="end"/>
            </w:r>
          </w:hyperlink>
        </w:p>
        <w:p w14:paraId="2D5589E3" w14:textId="1BEA2D4D" w:rsidR="00DF33D6" w:rsidRDefault="00000000">
          <w:pPr>
            <w:pStyle w:val="TM3"/>
            <w:rPr>
              <w:rFonts w:asciiTheme="minorHAnsi" w:eastAsiaTheme="minorEastAsia" w:hAnsiTheme="minorHAnsi" w:cstheme="minorBidi"/>
              <w:noProof/>
              <w:sz w:val="22"/>
              <w:szCs w:val="22"/>
            </w:rPr>
          </w:pPr>
          <w:hyperlink w:anchor="_Toc97822376" w:history="1">
            <w:r w:rsidR="00DF33D6" w:rsidRPr="008A4950">
              <w:rPr>
                <w:rStyle w:val="Lienhypertexte"/>
                <w:rFonts w:ascii="Bookman Old Style" w:hAnsi="Bookman Old Style" w:cs="Arial"/>
                <w:i/>
                <w:iCs/>
                <w:noProof/>
              </w:rPr>
              <w:t>5.5.6.</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i/>
                <w:iCs/>
                <w:noProof/>
              </w:rPr>
              <w:t>Difficultés rencontrées par les COGES</w:t>
            </w:r>
            <w:r w:rsidR="00DF33D6">
              <w:rPr>
                <w:noProof/>
                <w:webHidden/>
              </w:rPr>
              <w:tab/>
            </w:r>
            <w:r w:rsidR="00DF33D6">
              <w:rPr>
                <w:noProof/>
                <w:webHidden/>
              </w:rPr>
              <w:fldChar w:fldCharType="begin"/>
            </w:r>
            <w:r w:rsidR="00DF33D6">
              <w:rPr>
                <w:noProof/>
                <w:webHidden/>
              </w:rPr>
              <w:instrText xml:space="preserve"> PAGEREF _Toc97822376 \h </w:instrText>
            </w:r>
            <w:r w:rsidR="00DF33D6">
              <w:rPr>
                <w:noProof/>
                <w:webHidden/>
              </w:rPr>
            </w:r>
            <w:r w:rsidR="00DF33D6">
              <w:rPr>
                <w:noProof/>
                <w:webHidden/>
              </w:rPr>
              <w:fldChar w:fldCharType="separate"/>
            </w:r>
            <w:r w:rsidR="00DF33D6">
              <w:rPr>
                <w:noProof/>
                <w:webHidden/>
              </w:rPr>
              <w:t>45</w:t>
            </w:r>
            <w:r w:rsidR="00DF33D6">
              <w:rPr>
                <w:noProof/>
                <w:webHidden/>
              </w:rPr>
              <w:fldChar w:fldCharType="end"/>
            </w:r>
          </w:hyperlink>
        </w:p>
        <w:p w14:paraId="45978422" w14:textId="7B5E7A6D" w:rsidR="00DF33D6" w:rsidRDefault="00000000">
          <w:pPr>
            <w:pStyle w:val="TM1"/>
            <w:rPr>
              <w:rFonts w:asciiTheme="minorHAnsi" w:eastAsiaTheme="minorEastAsia" w:hAnsiTheme="minorHAnsi" w:cstheme="minorBidi"/>
              <w:noProof/>
              <w:sz w:val="22"/>
              <w:szCs w:val="22"/>
            </w:rPr>
          </w:pPr>
          <w:hyperlink w:anchor="_Toc97822377" w:history="1">
            <w:r w:rsidR="00DF33D6" w:rsidRPr="008A4950">
              <w:rPr>
                <w:rStyle w:val="Lienhypertexte"/>
                <w:rFonts w:ascii="Bookman Old Style" w:hAnsi="Bookman Old Style" w:cs="Arial"/>
                <w:b/>
                <w:noProof/>
              </w:rPr>
              <w:t>VI.</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noProof/>
              </w:rPr>
              <w:t>RECOMMANDATIONS</w:t>
            </w:r>
            <w:r w:rsidR="00DF33D6">
              <w:rPr>
                <w:noProof/>
                <w:webHidden/>
              </w:rPr>
              <w:tab/>
            </w:r>
            <w:r w:rsidR="00DF33D6">
              <w:rPr>
                <w:noProof/>
                <w:webHidden/>
              </w:rPr>
              <w:fldChar w:fldCharType="begin"/>
            </w:r>
            <w:r w:rsidR="00DF33D6">
              <w:rPr>
                <w:noProof/>
                <w:webHidden/>
              </w:rPr>
              <w:instrText xml:space="preserve"> PAGEREF _Toc97822377 \h </w:instrText>
            </w:r>
            <w:r w:rsidR="00DF33D6">
              <w:rPr>
                <w:noProof/>
                <w:webHidden/>
              </w:rPr>
            </w:r>
            <w:r w:rsidR="00DF33D6">
              <w:rPr>
                <w:noProof/>
                <w:webHidden/>
              </w:rPr>
              <w:fldChar w:fldCharType="separate"/>
            </w:r>
            <w:r w:rsidR="00DF33D6">
              <w:rPr>
                <w:noProof/>
                <w:webHidden/>
              </w:rPr>
              <w:t>45</w:t>
            </w:r>
            <w:r w:rsidR="00DF33D6">
              <w:rPr>
                <w:noProof/>
                <w:webHidden/>
              </w:rPr>
              <w:fldChar w:fldCharType="end"/>
            </w:r>
          </w:hyperlink>
        </w:p>
        <w:p w14:paraId="60B4EECE" w14:textId="650E445F" w:rsidR="00DF33D6" w:rsidRDefault="00000000">
          <w:pPr>
            <w:pStyle w:val="TM1"/>
            <w:rPr>
              <w:rFonts w:asciiTheme="minorHAnsi" w:eastAsiaTheme="minorEastAsia" w:hAnsiTheme="minorHAnsi" w:cstheme="minorBidi"/>
              <w:noProof/>
              <w:sz w:val="22"/>
              <w:szCs w:val="22"/>
            </w:rPr>
          </w:pPr>
          <w:hyperlink w:anchor="_Toc97822378" w:history="1">
            <w:r w:rsidR="00DF33D6" w:rsidRPr="008A4950">
              <w:rPr>
                <w:rStyle w:val="Lienhypertexte"/>
                <w:rFonts w:ascii="Bookman Old Style" w:hAnsi="Bookman Old Style" w:cs="Arial"/>
                <w:b/>
                <w:noProof/>
              </w:rPr>
              <w:t>VII.</w:t>
            </w:r>
            <w:r w:rsidR="00DF33D6">
              <w:rPr>
                <w:rFonts w:asciiTheme="minorHAnsi" w:eastAsiaTheme="minorEastAsia" w:hAnsiTheme="minorHAnsi" w:cstheme="minorBidi"/>
                <w:noProof/>
                <w:sz w:val="22"/>
                <w:szCs w:val="22"/>
              </w:rPr>
              <w:tab/>
            </w:r>
            <w:r w:rsidR="00DF33D6" w:rsidRPr="008A4950">
              <w:rPr>
                <w:rStyle w:val="Lienhypertexte"/>
                <w:rFonts w:ascii="Bookman Old Style" w:hAnsi="Bookman Old Style" w:cs="Arial"/>
                <w:b/>
                <w:noProof/>
              </w:rPr>
              <w:t>CONCLUSION</w:t>
            </w:r>
            <w:r w:rsidR="00DF33D6">
              <w:rPr>
                <w:noProof/>
                <w:webHidden/>
              </w:rPr>
              <w:tab/>
            </w:r>
            <w:r w:rsidR="00DF33D6">
              <w:rPr>
                <w:noProof/>
                <w:webHidden/>
              </w:rPr>
              <w:fldChar w:fldCharType="begin"/>
            </w:r>
            <w:r w:rsidR="00DF33D6">
              <w:rPr>
                <w:noProof/>
                <w:webHidden/>
              </w:rPr>
              <w:instrText xml:space="preserve"> PAGEREF _Toc97822378 \h </w:instrText>
            </w:r>
            <w:r w:rsidR="00DF33D6">
              <w:rPr>
                <w:noProof/>
                <w:webHidden/>
              </w:rPr>
            </w:r>
            <w:r w:rsidR="00DF33D6">
              <w:rPr>
                <w:noProof/>
                <w:webHidden/>
              </w:rPr>
              <w:fldChar w:fldCharType="separate"/>
            </w:r>
            <w:r w:rsidR="00DF33D6">
              <w:rPr>
                <w:noProof/>
                <w:webHidden/>
              </w:rPr>
              <w:t>46</w:t>
            </w:r>
            <w:r w:rsidR="00DF33D6">
              <w:rPr>
                <w:noProof/>
                <w:webHidden/>
              </w:rPr>
              <w:fldChar w:fldCharType="end"/>
            </w:r>
          </w:hyperlink>
        </w:p>
        <w:p w14:paraId="183A489A" w14:textId="768F4C38" w:rsidR="00DF33D6" w:rsidRDefault="00000000">
          <w:pPr>
            <w:pStyle w:val="TM1"/>
            <w:rPr>
              <w:rFonts w:asciiTheme="minorHAnsi" w:eastAsiaTheme="minorEastAsia" w:hAnsiTheme="minorHAnsi" w:cstheme="minorBidi"/>
              <w:noProof/>
              <w:sz w:val="22"/>
              <w:szCs w:val="22"/>
            </w:rPr>
          </w:pPr>
          <w:hyperlink w:anchor="_Toc97822379" w:history="1">
            <w:r w:rsidR="00DF33D6" w:rsidRPr="008A4950">
              <w:rPr>
                <w:rStyle w:val="Lienhypertexte"/>
                <w:rFonts w:ascii="Bookman Old Style" w:hAnsi="Bookman Old Style" w:cs="Arial"/>
                <w:b/>
                <w:noProof/>
              </w:rPr>
              <w:t>BIBLIOGRAPHIE</w:t>
            </w:r>
            <w:r w:rsidR="00DF33D6">
              <w:rPr>
                <w:noProof/>
                <w:webHidden/>
              </w:rPr>
              <w:tab/>
            </w:r>
            <w:r w:rsidR="00DF33D6">
              <w:rPr>
                <w:noProof/>
                <w:webHidden/>
              </w:rPr>
              <w:fldChar w:fldCharType="begin"/>
            </w:r>
            <w:r w:rsidR="00DF33D6">
              <w:rPr>
                <w:noProof/>
                <w:webHidden/>
              </w:rPr>
              <w:instrText xml:space="preserve"> PAGEREF _Toc97822379 \h </w:instrText>
            </w:r>
            <w:r w:rsidR="00DF33D6">
              <w:rPr>
                <w:noProof/>
                <w:webHidden/>
              </w:rPr>
            </w:r>
            <w:r w:rsidR="00DF33D6">
              <w:rPr>
                <w:noProof/>
                <w:webHidden/>
              </w:rPr>
              <w:fldChar w:fldCharType="separate"/>
            </w:r>
            <w:r w:rsidR="00DF33D6">
              <w:rPr>
                <w:noProof/>
                <w:webHidden/>
              </w:rPr>
              <w:t>46</w:t>
            </w:r>
            <w:r w:rsidR="00DF33D6">
              <w:rPr>
                <w:noProof/>
                <w:webHidden/>
              </w:rPr>
              <w:fldChar w:fldCharType="end"/>
            </w:r>
          </w:hyperlink>
        </w:p>
        <w:p w14:paraId="6FA48885" w14:textId="0F0007C7" w:rsidR="00DD5735" w:rsidRDefault="00DA79F9">
          <w:r>
            <w:fldChar w:fldCharType="end"/>
          </w:r>
        </w:p>
      </w:sdtContent>
    </w:sdt>
    <w:p w14:paraId="72886AD5" w14:textId="565BF776" w:rsidR="00610328" w:rsidRDefault="00610328">
      <w:pPr>
        <w:rPr>
          <w:rFonts w:ascii="Bookman Old Style" w:hAnsi="Bookman Old Style" w:cs="Arial"/>
        </w:rPr>
      </w:pPr>
    </w:p>
    <w:p w14:paraId="213145F5" w14:textId="5C7F2818" w:rsidR="00610328" w:rsidRDefault="00610328">
      <w:pPr>
        <w:rPr>
          <w:rFonts w:ascii="Bookman Old Style" w:hAnsi="Bookman Old Style" w:cs="Arial"/>
        </w:rPr>
      </w:pPr>
    </w:p>
    <w:p w14:paraId="1532153C" w14:textId="557DD630" w:rsidR="00610328" w:rsidRDefault="00610328">
      <w:pPr>
        <w:rPr>
          <w:rFonts w:ascii="Bookman Old Style" w:hAnsi="Bookman Old Style" w:cs="Arial"/>
        </w:rPr>
      </w:pPr>
    </w:p>
    <w:p w14:paraId="578EDC3B" w14:textId="3B3DBED4" w:rsidR="00610328" w:rsidRDefault="00610328">
      <w:pPr>
        <w:rPr>
          <w:rFonts w:ascii="Bookman Old Style" w:hAnsi="Bookman Old Style" w:cs="Arial"/>
        </w:rPr>
      </w:pPr>
    </w:p>
    <w:p w14:paraId="4ACE9CE9" w14:textId="7F04CCD1" w:rsidR="00610328" w:rsidRDefault="00610328">
      <w:pPr>
        <w:rPr>
          <w:rFonts w:ascii="Bookman Old Style" w:hAnsi="Bookman Old Style" w:cs="Arial"/>
        </w:rPr>
      </w:pPr>
    </w:p>
    <w:p w14:paraId="76325A45" w14:textId="7504503B" w:rsidR="00610328" w:rsidRDefault="00610328">
      <w:pPr>
        <w:rPr>
          <w:rFonts w:ascii="Bookman Old Style" w:hAnsi="Bookman Old Style" w:cs="Arial"/>
        </w:rPr>
      </w:pPr>
    </w:p>
    <w:p w14:paraId="4186E204" w14:textId="64EC3B4F" w:rsidR="00610328" w:rsidRDefault="00610328">
      <w:pPr>
        <w:rPr>
          <w:rFonts w:ascii="Bookman Old Style" w:hAnsi="Bookman Old Style" w:cs="Arial"/>
        </w:rPr>
      </w:pPr>
    </w:p>
    <w:p w14:paraId="55AC3DE2" w14:textId="73BCE978" w:rsidR="00610328" w:rsidRDefault="00610328">
      <w:pPr>
        <w:rPr>
          <w:rFonts w:ascii="Bookman Old Style" w:hAnsi="Bookman Old Style" w:cs="Arial"/>
        </w:rPr>
      </w:pPr>
    </w:p>
    <w:p w14:paraId="315593E9" w14:textId="65E8EE86" w:rsidR="00610328" w:rsidRDefault="00610328">
      <w:pPr>
        <w:rPr>
          <w:rFonts w:ascii="Bookman Old Style" w:hAnsi="Bookman Old Style" w:cs="Arial"/>
        </w:rPr>
      </w:pPr>
    </w:p>
    <w:p w14:paraId="341371B5" w14:textId="16FAA2D5" w:rsidR="00610328" w:rsidRDefault="00610328">
      <w:pPr>
        <w:rPr>
          <w:rFonts w:ascii="Bookman Old Style" w:hAnsi="Bookman Old Style" w:cs="Arial"/>
        </w:rPr>
      </w:pPr>
    </w:p>
    <w:p w14:paraId="28457556" w14:textId="255AA9B4" w:rsidR="00610328" w:rsidRDefault="00610328">
      <w:pPr>
        <w:rPr>
          <w:rFonts w:ascii="Bookman Old Style" w:hAnsi="Bookman Old Style" w:cs="Arial"/>
        </w:rPr>
      </w:pPr>
    </w:p>
    <w:p w14:paraId="222D28DF" w14:textId="7A3980B7" w:rsidR="00610328" w:rsidRDefault="00610328">
      <w:pPr>
        <w:rPr>
          <w:rFonts w:ascii="Bookman Old Style" w:hAnsi="Bookman Old Style" w:cs="Arial"/>
        </w:rPr>
      </w:pPr>
    </w:p>
    <w:p w14:paraId="0B0BF8AD" w14:textId="62AFFCDC" w:rsidR="00610328" w:rsidRDefault="00610328">
      <w:pPr>
        <w:rPr>
          <w:rFonts w:ascii="Bookman Old Style" w:hAnsi="Bookman Old Style" w:cs="Arial"/>
        </w:rPr>
      </w:pPr>
    </w:p>
    <w:p w14:paraId="14845DB0" w14:textId="10EC761D" w:rsidR="00610328" w:rsidRDefault="00610328">
      <w:pPr>
        <w:rPr>
          <w:rFonts w:ascii="Bookman Old Style" w:hAnsi="Bookman Old Style" w:cs="Arial"/>
        </w:rPr>
      </w:pPr>
    </w:p>
    <w:p w14:paraId="5A7BEC8F" w14:textId="360419CE" w:rsidR="00610328" w:rsidRDefault="00610328">
      <w:pPr>
        <w:rPr>
          <w:rFonts w:ascii="Bookman Old Style" w:hAnsi="Bookman Old Style" w:cs="Arial"/>
        </w:rPr>
      </w:pPr>
    </w:p>
    <w:p w14:paraId="565ECF2C" w14:textId="1EF44728" w:rsidR="00610328" w:rsidRDefault="00610328">
      <w:pPr>
        <w:rPr>
          <w:rFonts w:ascii="Bookman Old Style" w:hAnsi="Bookman Old Style" w:cs="Arial"/>
        </w:rPr>
      </w:pPr>
    </w:p>
    <w:p w14:paraId="1C5A79A3" w14:textId="752A7D60" w:rsidR="00610328" w:rsidRDefault="00610328">
      <w:pPr>
        <w:rPr>
          <w:rFonts w:ascii="Bookman Old Style" w:hAnsi="Bookman Old Style" w:cs="Arial"/>
        </w:rPr>
      </w:pPr>
    </w:p>
    <w:p w14:paraId="7A18D00C" w14:textId="74E1FC0F" w:rsidR="00610328" w:rsidRDefault="00610328">
      <w:pPr>
        <w:rPr>
          <w:rFonts w:ascii="Bookman Old Style" w:hAnsi="Bookman Old Style" w:cs="Arial"/>
        </w:rPr>
      </w:pPr>
    </w:p>
    <w:p w14:paraId="1C8FD23F" w14:textId="526B68E6" w:rsidR="00610328" w:rsidRDefault="00610328">
      <w:pPr>
        <w:rPr>
          <w:rFonts w:ascii="Bookman Old Style" w:hAnsi="Bookman Old Style" w:cs="Arial"/>
        </w:rPr>
      </w:pPr>
    </w:p>
    <w:p w14:paraId="7DA42215" w14:textId="1E670927" w:rsidR="00610328" w:rsidRDefault="00610328">
      <w:pPr>
        <w:rPr>
          <w:rFonts w:ascii="Bookman Old Style" w:hAnsi="Bookman Old Style" w:cs="Arial"/>
        </w:rPr>
      </w:pPr>
    </w:p>
    <w:p w14:paraId="07491072" w14:textId="77777777" w:rsidR="00DC41A2" w:rsidRDefault="00DC41A2">
      <w:pPr>
        <w:rPr>
          <w:rFonts w:ascii="Bookman Old Style" w:hAnsi="Bookman Old Style" w:cs="Arial"/>
          <w:color w:val="008080"/>
          <w:sz w:val="36"/>
          <w:szCs w:val="36"/>
        </w:rPr>
      </w:pPr>
      <w:r>
        <w:rPr>
          <w:rFonts w:ascii="Bookman Old Style" w:hAnsi="Bookman Old Style" w:cs="Arial"/>
        </w:rPr>
        <w:br w:type="page"/>
      </w:r>
    </w:p>
    <w:p w14:paraId="71D6D3F0" w14:textId="23296D0B" w:rsidR="00610328" w:rsidRPr="00DF33D6" w:rsidRDefault="00610328" w:rsidP="00807B10">
      <w:pPr>
        <w:pStyle w:val="Titre1"/>
        <w:numPr>
          <w:ilvl w:val="0"/>
          <w:numId w:val="0"/>
        </w:numPr>
        <w:ind w:left="432" w:hanging="432"/>
        <w:rPr>
          <w:rFonts w:ascii="Bookman Old Style" w:hAnsi="Bookman Old Style" w:cs="Arial"/>
          <w:b/>
          <w:bCs/>
          <w:sz w:val="24"/>
          <w:szCs w:val="24"/>
        </w:rPr>
      </w:pPr>
      <w:bookmarkStart w:id="0" w:name="_Toc97822336"/>
      <w:r w:rsidRPr="00DF33D6">
        <w:rPr>
          <w:rFonts w:ascii="Bookman Old Style" w:hAnsi="Bookman Old Style" w:cs="Arial"/>
          <w:b/>
          <w:bCs/>
          <w:sz w:val="24"/>
          <w:szCs w:val="24"/>
        </w:rPr>
        <w:lastRenderedPageBreak/>
        <w:t>Sigles et abréviations</w:t>
      </w:r>
      <w:bookmarkEnd w:id="0"/>
    </w:p>
    <w:p w14:paraId="4799EFD8" w14:textId="77777777" w:rsidR="00326AF2" w:rsidRDefault="00326AF2" w:rsidP="001616D4">
      <w:pPr>
        <w:spacing w:before="240" w:line="276" w:lineRule="auto"/>
        <w:rPr>
          <w:rFonts w:ascii="Bookman Old Style" w:hAnsi="Bookman Old Style" w:cs="Arial"/>
        </w:rPr>
      </w:pPr>
      <w:r>
        <w:rPr>
          <w:rFonts w:ascii="Bookman Old Style" w:hAnsi="Bookman Old Style" w:cs="Arial"/>
        </w:rPr>
        <w:t>AG : Assemblée Générale</w:t>
      </w:r>
    </w:p>
    <w:p w14:paraId="7792FC2B" w14:textId="77777777" w:rsidR="00326AF2" w:rsidRDefault="00326AF2" w:rsidP="001616D4">
      <w:pPr>
        <w:spacing w:before="240" w:line="276" w:lineRule="auto"/>
        <w:rPr>
          <w:rFonts w:ascii="Bookman Old Style" w:hAnsi="Bookman Old Style" w:cs="Arial"/>
        </w:rPr>
      </w:pPr>
      <w:r>
        <w:rPr>
          <w:rFonts w:ascii="Bookman Old Style" w:hAnsi="Bookman Old Style" w:cs="Arial"/>
        </w:rPr>
        <w:t>ATN : Assistant Technique National</w:t>
      </w:r>
    </w:p>
    <w:p w14:paraId="5CE1017E" w14:textId="77777777" w:rsidR="00326AF2" w:rsidRDefault="00326AF2" w:rsidP="001616D4">
      <w:pPr>
        <w:spacing w:before="240" w:line="276" w:lineRule="auto"/>
        <w:rPr>
          <w:rFonts w:ascii="Bookman Old Style" w:hAnsi="Bookman Old Style" w:cs="Arial"/>
        </w:rPr>
      </w:pPr>
      <w:r>
        <w:rPr>
          <w:rFonts w:ascii="Bookman Old Style" w:hAnsi="Bookman Old Style" w:cs="Arial"/>
        </w:rPr>
        <w:t>CENRAT : Cellule Nationale de Représentation et d’Assistance Technique</w:t>
      </w:r>
    </w:p>
    <w:p w14:paraId="3F0332FD" w14:textId="77777777" w:rsidR="00326AF2" w:rsidRDefault="00326AF2" w:rsidP="001616D4">
      <w:pPr>
        <w:spacing w:before="240" w:line="276" w:lineRule="auto"/>
        <w:rPr>
          <w:rFonts w:ascii="Bookman Old Style" w:hAnsi="Bookman Old Style" w:cs="Arial"/>
        </w:rPr>
      </w:pPr>
      <w:r>
        <w:rPr>
          <w:rFonts w:ascii="Bookman Old Style" w:hAnsi="Bookman Old Style" w:cs="Arial"/>
        </w:rPr>
        <w:t>COGES : Comité de Gestion</w:t>
      </w:r>
    </w:p>
    <w:p w14:paraId="78C7E32E" w14:textId="77777777" w:rsidR="00326AF2" w:rsidRDefault="00326AF2" w:rsidP="001616D4">
      <w:pPr>
        <w:spacing w:before="240" w:line="276" w:lineRule="auto"/>
        <w:rPr>
          <w:rFonts w:ascii="Bookman Old Style" w:hAnsi="Bookman Old Style" w:cs="Arial"/>
        </w:rPr>
      </w:pPr>
      <w:r>
        <w:rPr>
          <w:rFonts w:ascii="Bookman Old Style" w:hAnsi="Bookman Old Style" w:cs="Arial"/>
        </w:rPr>
        <w:t>FIDA : Fonds International de Développement Agricole</w:t>
      </w:r>
    </w:p>
    <w:p w14:paraId="276362A9" w14:textId="77777777" w:rsidR="00326AF2" w:rsidRDefault="00326AF2" w:rsidP="001616D4">
      <w:pPr>
        <w:spacing w:before="240" w:line="276" w:lineRule="auto"/>
        <w:rPr>
          <w:rFonts w:ascii="Bookman Old Style" w:hAnsi="Bookman Old Style" w:cs="Arial"/>
        </w:rPr>
      </w:pPr>
      <w:r>
        <w:rPr>
          <w:rFonts w:ascii="Bookman Old Style" w:hAnsi="Bookman Old Style" w:cs="Arial"/>
        </w:rPr>
        <w:t>GFS : Grenier Féminin de Soudure</w:t>
      </w:r>
    </w:p>
    <w:p w14:paraId="2ACCA61E" w14:textId="77777777" w:rsidR="00326AF2" w:rsidRDefault="00326AF2" w:rsidP="001616D4">
      <w:pPr>
        <w:spacing w:before="240" w:line="276" w:lineRule="auto"/>
        <w:rPr>
          <w:rFonts w:ascii="Bookman Old Style" w:hAnsi="Bookman Old Style" w:cs="Arial"/>
        </w:rPr>
      </w:pPr>
      <w:r>
        <w:rPr>
          <w:rFonts w:ascii="Bookman Old Style" w:hAnsi="Bookman Old Style" w:cs="Arial"/>
        </w:rPr>
        <w:t>Kg : Kilogramme</w:t>
      </w:r>
    </w:p>
    <w:p w14:paraId="080D93A2" w14:textId="77777777" w:rsidR="00326AF2" w:rsidRPr="00326AF2" w:rsidRDefault="00326AF2" w:rsidP="001616D4">
      <w:pPr>
        <w:spacing w:before="240" w:line="276" w:lineRule="auto"/>
        <w:rPr>
          <w:rFonts w:ascii="Bookman Old Style" w:hAnsi="Bookman Old Style" w:cs="Arial"/>
          <w:lang w:val="it-IT"/>
        </w:rPr>
      </w:pPr>
      <w:r w:rsidRPr="00326AF2">
        <w:rPr>
          <w:rFonts w:ascii="Bookman Old Style" w:hAnsi="Bookman Old Style" w:cs="Arial"/>
          <w:lang w:val="it-IT"/>
        </w:rPr>
        <w:t>MMD : Mata Masu Dubara</w:t>
      </w:r>
    </w:p>
    <w:p w14:paraId="0BE57350" w14:textId="77777777" w:rsidR="00326AF2" w:rsidRPr="00326AF2" w:rsidRDefault="00326AF2" w:rsidP="001616D4">
      <w:pPr>
        <w:spacing w:before="240" w:line="276" w:lineRule="auto"/>
        <w:rPr>
          <w:rFonts w:ascii="Bookman Old Style" w:hAnsi="Bookman Old Style" w:cs="Arial"/>
          <w:lang w:val="it-IT"/>
        </w:rPr>
      </w:pPr>
      <w:r w:rsidRPr="00326AF2">
        <w:rPr>
          <w:rFonts w:ascii="Bookman Old Style" w:hAnsi="Bookman Old Style" w:cs="Arial"/>
          <w:lang w:val="it-IT"/>
        </w:rPr>
        <w:t>MO : Main d’œuvre</w:t>
      </w:r>
    </w:p>
    <w:p w14:paraId="7C858625" w14:textId="77777777" w:rsidR="00326AF2" w:rsidRDefault="00326AF2" w:rsidP="001616D4">
      <w:pPr>
        <w:spacing w:before="240" w:line="276" w:lineRule="auto"/>
        <w:rPr>
          <w:rFonts w:ascii="Bookman Old Style" w:hAnsi="Bookman Old Style" w:cs="Arial"/>
        </w:rPr>
      </w:pPr>
      <w:r>
        <w:rPr>
          <w:rFonts w:ascii="Bookman Old Style" w:hAnsi="Bookman Old Style" w:cs="Arial"/>
        </w:rPr>
        <w:t>MTZ : Maradi, Tahoua et Zinder</w:t>
      </w:r>
    </w:p>
    <w:p w14:paraId="29784196" w14:textId="77777777" w:rsidR="00326AF2" w:rsidRDefault="00326AF2" w:rsidP="001616D4">
      <w:pPr>
        <w:spacing w:before="240" w:line="276" w:lineRule="auto"/>
        <w:rPr>
          <w:rFonts w:ascii="Bookman Old Style" w:hAnsi="Bookman Old Style" w:cs="Arial"/>
        </w:rPr>
      </w:pPr>
      <w:r>
        <w:rPr>
          <w:rFonts w:ascii="Bookman Old Style" w:hAnsi="Bookman Old Style" w:cs="Arial"/>
        </w:rPr>
        <w:t>Nbre : Nombre</w:t>
      </w:r>
    </w:p>
    <w:p w14:paraId="0578F2FC" w14:textId="77777777" w:rsidR="00326AF2" w:rsidDel="001616D4" w:rsidRDefault="00326AF2" w:rsidP="001616D4">
      <w:pPr>
        <w:spacing w:before="240" w:line="276" w:lineRule="auto"/>
        <w:rPr>
          <w:rFonts w:ascii="Bookman Old Style" w:hAnsi="Bookman Old Style" w:cs="Arial"/>
        </w:rPr>
      </w:pPr>
      <w:r w:rsidRPr="001616D4">
        <w:rPr>
          <w:rFonts w:ascii="Bookman Old Style" w:hAnsi="Bookman Old Style" w:cs="Arial"/>
        </w:rPr>
        <w:t>PASADEM</w:t>
      </w:r>
      <w:r>
        <w:rPr>
          <w:rFonts w:ascii="Bookman Old Style" w:hAnsi="Bookman Old Style" w:cs="Arial"/>
        </w:rPr>
        <w:t xml:space="preserve"> : </w:t>
      </w:r>
      <w:r w:rsidRPr="00326AF2">
        <w:rPr>
          <w:rFonts w:ascii="Bookman Old Style" w:hAnsi="Bookman Old Style" w:cs="Arial"/>
        </w:rPr>
        <w:t>Projet d’Appui à la Sécurité Alimentaire et au Développement dans la Région de Maradi</w:t>
      </w:r>
      <w:r>
        <w:rPr>
          <w:rFonts w:ascii="Bookman Old Style" w:hAnsi="Bookman Old Style" w:cs="Arial"/>
        </w:rPr>
        <w:t xml:space="preserve"> </w:t>
      </w:r>
    </w:p>
    <w:p w14:paraId="0C0E58B6" w14:textId="77777777" w:rsidR="00326AF2" w:rsidRDefault="00326AF2" w:rsidP="001616D4">
      <w:pPr>
        <w:spacing w:before="240" w:line="276" w:lineRule="auto"/>
        <w:rPr>
          <w:rFonts w:ascii="Bookman Old Style" w:hAnsi="Bookman Old Style" w:cs="Arial"/>
        </w:rPr>
      </w:pPr>
      <w:r>
        <w:rPr>
          <w:rFonts w:ascii="Bookman Old Style" w:hAnsi="Bookman Old Style" w:cs="Arial"/>
        </w:rPr>
        <w:t>PDE : Pôle de Développement Economique</w:t>
      </w:r>
    </w:p>
    <w:p w14:paraId="1D6DE336" w14:textId="77777777" w:rsidR="00326AF2" w:rsidRDefault="00326AF2" w:rsidP="001616D4">
      <w:pPr>
        <w:spacing w:before="240" w:line="276" w:lineRule="auto"/>
        <w:rPr>
          <w:rFonts w:ascii="Bookman Old Style" w:hAnsi="Bookman Old Style" w:cs="Arial"/>
        </w:rPr>
      </w:pPr>
      <w:r>
        <w:rPr>
          <w:rFonts w:ascii="Bookman Old Style" w:hAnsi="Bookman Old Style" w:cs="Arial"/>
        </w:rPr>
        <w:t>ProDAF : Programme de Développement de l’Agriculture Familiale</w:t>
      </w:r>
    </w:p>
    <w:p w14:paraId="1BB23EB9" w14:textId="77777777" w:rsidR="00326AF2" w:rsidRDefault="00326AF2" w:rsidP="001616D4">
      <w:pPr>
        <w:spacing w:before="240" w:line="276" w:lineRule="auto"/>
        <w:rPr>
          <w:rFonts w:ascii="Bookman Old Style" w:hAnsi="Bookman Old Style" w:cs="Arial"/>
        </w:rPr>
      </w:pPr>
      <w:r>
        <w:rPr>
          <w:rFonts w:ascii="Bookman Old Style" w:hAnsi="Bookman Old Style" w:cs="Arial"/>
        </w:rPr>
        <w:t>PV : Procès-verbal</w:t>
      </w:r>
    </w:p>
    <w:p w14:paraId="201D0A36" w14:textId="77777777" w:rsidR="00326AF2" w:rsidRDefault="00326AF2" w:rsidP="001616D4">
      <w:pPr>
        <w:spacing w:before="240" w:line="276" w:lineRule="auto"/>
        <w:rPr>
          <w:rFonts w:ascii="Bookman Old Style" w:hAnsi="Bookman Old Style" w:cs="Arial"/>
        </w:rPr>
      </w:pPr>
      <w:r w:rsidRPr="001616D4">
        <w:rPr>
          <w:rFonts w:ascii="Bookman Old Style" w:hAnsi="Bookman Old Style" w:cs="Arial"/>
        </w:rPr>
        <w:t>RGPH</w:t>
      </w:r>
      <w:r>
        <w:rPr>
          <w:rFonts w:ascii="Bookman Old Style" w:hAnsi="Bookman Old Style" w:cs="Arial"/>
        </w:rPr>
        <w:t> : Recensement Général de la Population et de l’Habitat</w:t>
      </w:r>
    </w:p>
    <w:p w14:paraId="151D8CA4" w14:textId="77777777" w:rsidR="00326AF2" w:rsidRDefault="00326AF2" w:rsidP="001616D4">
      <w:pPr>
        <w:spacing w:before="240" w:line="276" w:lineRule="auto"/>
        <w:rPr>
          <w:rFonts w:ascii="Bookman Old Style" w:hAnsi="Bookman Old Style" w:cs="Arial"/>
        </w:rPr>
      </w:pPr>
      <w:r>
        <w:rPr>
          <w:rFonts w:ascii="Bookman Old Style" w:hAnsi="Bookman Old Style" w:cs="Arial"/>
        </w:rPr>
        <w:t>TDR : Termes De Référence</w:t>
      </w:r>
    </w:p>
    <w:p w14:paraId="29A92CF2" w14:textId="70002BB1" w:rsidR="00326AF2" w:rsidRDefault="00326AF2" w:rsidP="001616D4">
      <w:pPr>
        <w:spacing w:before="240" w:line="276" w:lineRule="auto"/>
        <w:rPr>
          <w:rFonts w:ascii="Bookman Old Style" w:hAnsi="Bookman Old Style" w:cs="Arial"/>
        </w:rPr>
      </w:pPr>
      <w:proofErr w:type="spellStart"/>
      <w:r>
        <w:rPr>
          <w:rFonts w:ascii="Bookman Old Style" w:hAnsi="Bookman Old Style" w:cs="Arial"/>
        </w:rPr>
        <w:t>Tias</w:t>
      </w:r>
      <w:proofErr w:type="spellEnd"/>
      <w:r>
        <w:rPr>
          <w:rFonts w:ascii="Bookman Old Style" w:hAnsi="Bookman Old Style" w:cs="Arial"/>
        </w:rPr>
        <w:t xml:space="preserve"> : Unité de mesure </w:t>
      </w:r>
      <w:r w:rsidR="00781C86">
        <w:rPr>
          <w:rFonts w:ascii="Bookman Old Style" w:hAnsi="Bookman Old Style" w:cs="Arial"/>
        </w:rPr>
        <w:t xml:space="preserve">locales </w:t>
      </w:r>
      <w:r>
        <w:rPr>
          <w:rFonts w:ascii="Bookman Old Style" w:hAnsi="Bookman Old Style" w:cs="Arial"/>
        </w:rPr>
        <w:t>équivalent à 2,5kg</w:t>
      </w:r>
      <w:r w:rsidR="00781C86">
        <w:rPr>
          <w:rFonts w:ascii="Bookman Old Style" w:hAnsi="Bookman Old Style" w:cs="Arial"/>
        </w:rPr>
        <w:t xml:space="preserve"> ou </w:t>
      </w:r>
      <w:proofErr w:type="gramStart"/>
      <w:r w:rsidR="00781C86">
        <w:rPr>
          <w:rFonts w:ascii="Bookman Old Style" w:hAnsi="Bookman Old Style" w:cs="Arial"/>
        </w:rPr>
        <w:t>«  kg</w:t>
      </w:r>
      <w:proofErr w:type="gramEnd"/>
      <w:r w:rsidR="00781C86">
        <w:rPr>
          <w:rFonts w:ascii="Bookman Old Style" w:hAnsi="Bookman Old Style" w:cs="Arial"/>
        </w:rPr>
        <w:t xml:space="preserve"> selon les régions</w:t>
      </w:r>
    </w:p>
    <w:p w14:paraId="5A2E10AF" w14:textId="77777777" w:rsidR="00326AF2" w:rsidRDefault="00326AF2" w:rsidP="001616D4">
      <w:pPr>
        <w:spacing w:before="240" w:line="276" w:lineRule="auto"/>
        <w:rPr>
          <w:rFonts w:ascii="Bookman Old Style" w:hAnsi="Bookman Old Style" w:cs="Arial"/>
        </w:rPr>
      </w:pPr>
      <w:r>
        <w:rPr>
          <w:rFonts w:ascii="Bookman Old Style" w:hAnsi="Bookman Old Style" w:cs="Arial"/>
        </w:rPr>
        <w:t>URGP : Unité Régionale de Gestion de Programme</w:t>
      </w:r>
    </w:p>
    <w:p w14:paraId="5E950202" w14:textId="4372BE56" w:rsidR="00326AF2" w:rsidRDefault="00326AF2">
      <w:pPr>
        <w:rPr>
          <w:rFonts w:ascii="Bookman Old Style" w:hAnsi="Bookman Old Style" w:cs="Arial"/>
          <w:color w:val="008080"/>
          <w:sz w:val="36"/>
          <w:szCs w:val="36"/>
        </w:rPr>
      </w:pPr>
    </w:p>
    <w:p w14:paraId="7E344876" w14:textId="4A8FB431" w:rsidR="00326AF2" w:rsidRDefault="00326AF2">
      <w:pPr>
        <w:rPr>
          <w:rFonts w:ascii="Bookman Old Style" w:hAnsi="Bookman Old Style" w:cs="Arial"/>
          <w:color w:val="008080"/>
          <w:sz w:val="36"/>
          <w:szCs w:val="36"/>
        </w:rPr>
      </w:pPr>
      <w:r>
        <w:rPr>
          <w:rFonts w:ascii="Bookman Old Style" w:hAnsi="Bookman Old Style" w:cs="Arial"/>
          <w:color w:val="008080"/>
          <w:sz w:val="36"/>
          <w:szCs w:val="36"/>
        </w:rPr>
        <w:br w:type="page"/>
      </w:r>
    </w:p>
    <w:p w14:paraId="58917E64" w14:textId="5E625A6F" w:rsidR="00610328" w:rsidRPr="00326AF2" w:rsidRDefault="00610328" w:rsidP="00807B10">
      <w:pPr>
        <w:pStyle w:val="Titre1"/>
        <w:numPr>
          <w:ilvl w:val="0"/>
          <w:numId w:val="0"/>
        </w:numPr>
        <w:ind w:left="432" w:hanging="432"/>
        <w:rPr>
          <w:rFonts w:ascii="Bookman Old Style" w:hAnsi="Bookman Old Style" w:cs="Arial"/>
          <w:b/>
          <w:bCs/>
          <w:sz w:val="24"/>
          <w:szCs w:val="24"/>
        </w:rPr>
      </w:pPr>
      <w:bookmarkStart w:id="1" w:name="_Toc97822337"/>
      <w:r w:rsidRPr="00326AF2">
        <w:rPr>
          <w:rFonts w:ascii="Bookman Old Style" w:hAnsi="Bookman Old Style" w:cs="Arial"/>
          <w:b/>
          <w:bCs/>
          <w:sz w:val="24"/>
          <w:szCs w:val="24"/>
        </w:rPr>
        <w:lastRenderedPageBreak/>
        <w:t>Liste des tableaux</w:t>
      </w:r>
      <w:bookmarkEnd w:id="1"/>
    </w:p>
    <w:p w14:paraId="14896D9B" w14:textId="41D2098F" w:rsidR="00DF33D6" w:rsidRPr="0066429B" w:rsidRDefault="004D723C"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r w:rsidRPr="0066429B">
        <w:rPr>
          <w:rFonts w:ascii="Bookman Old Style" w:hAnsi="Bookman Old Style" w:cs="Arial"/>
        </w:rPr>
        <w:fldChar w:fldCharType="begin"/>
      </w:r>
      <w:r w:rsidRPr="0066429B">
        <w:rPr>
          <w:rFonts w:ascii="Bookman Old Style" w:hAnsi="Bookman Old Style" w:cs="Arial"/>
        </w:rPr>
        <w:instrText xml:space="preserve"> TOC \h \z \c "Tableau" </w:instrText>
      </w:r>
      <w:r w:rsidRPr="0066429B">
        <w:rPr>
          <w:rFonts w:ascii="Bookman Old Style" w:hAnsi="Bookman Old Style" w:cs="Arial"/>
        </w:rPr>
        <w:fldChar w:fldCharType="separate"/>
      </w:r>
      <w:hyperlink w:anchor="_Toc97822380" w:history="1">
        <w:r w:rsidR="00DF33D6" w:rsidRPr="0066429B">
          <w:rPr>
            <w:rStyle w:val="Lienhypertexte"/>
            <w:rFonts w:ascii="Bookman Old Style" w:hAnsi="Bookman Old Style"/>
            <w:noProof/>
          </w:rPr>
          <w:t>Tableau 1 : Situation des réseau MMD et groupement membre</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_Toc97822380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15</w:t>
        </w:r>
        <w:r w:rsidR="00DF33D6" w:rsidRPr="0066429B">
          <w:rPr>
            <w:rFonts w:ascii="Bookman Old Style" w:hAnsi="Bookman Old Style"/>
            <w:noProof/>
            <w:webHidden/>
          </w:rPr>
          <w:fldChar w:fldCharType="end"/>
        </w:r>
      </w:hyperlink>
    </w:p>
    <w:p w14:paraId="773E806A" w14:textId="722C557E"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1" w:history="1">
        <w:r w:rsidR="00DF33D6" w:rsidRPr="0066429B">
          <w:rPr>
            <w:rStyle w:val="Lienhypertexte"/>
            <w:rFonts w:ascii="Bookman Old Style" w:hAnsi="Bookman Old Style"/>
            <w:noProof/>
          </w:rPr>
          <w:t>Tableau 2 : Situation des membres par groupement</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_Toc97822381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17</w:t>
        </w:r>
        <w:r w:rsidR="00DF33D6" w:rsidRPr="0066429B">
          <w:rPr>
            <w:rFonts w:ascii="Bookman Old Style" w:hAnsi="Bookman Old Style"/>
            <w:noProof/>
            <w:webHidden/>
          </w:rPr>
          <w:fldChar w:fldCharType="end"/>
        </w:r>
      </w:hyperlink>
    </w:p>
    <w:p w14:paraId="33D149AF" w14:textId="0556DDB3"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2" w:history="1">
        <w:r w:rsidR="00DF33D6" w:rsidRPr="0066429B">
          <w:rPr>
            <w:rStyle w:val="Lienhypertexte"/>
            <w:rFonts w:ascii="Bookman Old Style" w:hAnsi="Bookman Old Style"/>
            <w:noProof/>
          </w:rPr>
          <w:t>Tableau 3 : Taille des ménages et nombre d’actifs agricoles</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_Toc97822382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20</w:t>
        </w:r>
        <w:r w:rsidR="00DF33D6" w:rsidRPr="0066429B">
          <w:rPr>
            <w:rFonts w:ascii="Bookman Old Style" w:hAnsi="Bookman Old Style"/>
            <w:noProof/>
            <w:webHidden/>
          </w:rPr>
          <w:fldChar w:fldCharType="end"/>
        </w:r>
      </w:hyperlink>
    </w:p>
    <w:p w14:paraId="7F049D0E" w14:textId="2E2B4554"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3" w:history="1">
        <w:r w:rsidR="00DF33D6" w:rsidRPr="0066429B">
          <w:rPr>
            <w:rStyle w:val="Lienhypertexte"/>
            <w:rFonts w:ascii="Bookman Old Style" w:hAnsi="Bookman Old Style"/>
            <w:noProof/>
          </w:rPr>
          <w:t>Tableau 4 : Situation de stock initial mis à disposition</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_Toc97822383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21</w:t>
        </w:r>
        <w:r w:rsidR="00DF33D6" w:rsidRPr="0066429B">
          <w:rPr>
            <w:rFonts w:ascii="Bookman Old Style" w:hAnsi="Bookman Old Style"/>
            <w:noProof/>
            <w:webHidden/>
          </w:rPr>
          <w:fldChar w:fldCharType="end"/>
        </w:r>
      </w:hyperlink>
    </w:p>
    <w:p w14:paraId="6F0A2429" w14:textId="1A1217D6"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4" w:history="1">
        <w:r w:rsidR="00DF33D6" w:rsidRPr="0066429B">
          <w:rPr>
            <w:rStyle w:val="Lienhypertexte"/>
            <w:rFonts w:ascii="Bookman Old Style" w:hAnsi="Bookman Old Style"/>
            <w:noProof/>
          </w:rPr>
          <w:t>Tableau 5 : Quantité des vivres distribués 1</w:t>
        </w:r>
        <w:r w:rsidR="00DF33D6" w:rsidRPr="0066429B">
          <w:rPr>
            <w:rStyle w:val="Lienhypertexte"/>
            <w:rFonts w:ascii="Bookman Old Style" w:hAnsi="Bookman Old Style"/>
            <w:noProof/>
            <w:vertAlign w:val="superscript"/>
          </w:rPr>
          <w:t>ère</w:t>
        </w:r>
        <w:r w:rsidR="00DF33D6" w:rsidRPr="0066429B">
          <w:rPr>
            <w:rStyle w:val="Lienhypertexte"/>
            <w:rFonts w:ascii="Bookman Old Style" w:hAnsi="Bookman Old Style"/>
            <w:noProof/>
          </w:rPr>
          <w:t xml:space="preserve"> et 2è cession</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_Toc97822384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23</w:t>
        </w:r>
        <w:r w:rsidR="00DF33D6" w:rsidRPr="0066429B">
          <w:rPr>
            <w:rFonts w:ascii="Bookman Old Style" w:hAnsi="Bookman Old Style"/>
            <w:noProof/>
            <w:webHidden/>
          </w:rPr>
          <w:fldChar w:fldCharType="end"/>
        </w:r>
      </w:hyperlink>
    </w:p>
    <w:p w14:paraId="731A1F52" w14:textId="29D5CAAF"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5" w:history="1">
        <w:r w:rsidR="00DF33D6" w:rsidRPr="0066429B">
          <w:rPr>
            <w:rStyle w:val="Lienhypertexte"/>
            <w:rFonts w:ascii="Bookman Old Style" w:hAnsi="Bookman Old Style"/>
            <w:noProof/>
          </w:rPr>
          <w:t>Tableau 6 : Durée d’autoconsommation des vivres 1</w:t>
        </w:r>
        <w:r w:rsidR="00DF33D6" w:rsidRPr="0066429B">
          <w:rPr>
            <w:rStyle w:val="Lienhypertexte"/>
            <w:rFonts w:ascii="Bookman Old Style" w:hAnsi="Bookman Old Style"/>
            <w:noProof/>
            <w:vertAlign w:val="superscript"/>
          </w:rPr>
          <w:t>ère</w:t>
        </w:r>
        <w:r w:rsidR="00DF33D6" w:rsidRPr="0066429B">
          <w:rPr>
            <w:rStyle w:val="Lienhypertexte"/>
            <w:rFonts w:ascii="Bookman Old Style" w:hAnsi="Bookman Old Style"/>
            <w:noProof/>
          </w:rPr>
          <w:t xml:space="preserve"> cession</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_Toc97822385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26</w:t>
        </w:r>
        <w:r w:rsidR="00DF33D6" w:rsidRPr="0066429B">
          <w:rPr>
            <w:rFonts w:ascii="Bookman Old Style" w:hAnsi="Bookman Old Style"/>
            <w:noProof/>
            <w:webHidden/>
          </w:rPr>
          <w:fldChar w:fldCharType="end"/>
        </w:r>
      </w:hyperlink>
    </w:p>
    <w:p w14:paraId="4C307251" w14:textId="5CE59F22"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6" w:history="1">
        <w:r w:rsidR="00DF33D6" w:rsidRPr="0066429B">
          <w:rPr>
            <w:rStyle w:val="Lienhypertexte"/>
            <w:rFonts w:ascii="Bookman Old Style" w:hAnsi="Bookman Old Style"/>
            <w:noProof/>
          </w:rPr>
          <w:t>Tableau 7 : Durée d’autoconsommation des vivres 2è cession</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_Toc97822386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28</w:t>
        </w:r>
        <w:r w:rsidR="00DF33D6" w:rsidRPr="0066429B">
          <w:rPr>
            <w:rFonts w:ascii="Bookman Old Style" w:hAnsi="Bookman Old Style"/>
            <w:noProof/>
            <w:webHidden/>
          </w:rPr>
          <w:fldChar w:fldCharType="end"/>
        </w:r>
      </w:hyperlink>
    </w:p>
    <w:p w14:paraId="799E6C0F" w14:textId="570FEFDA"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7" w:history="1">
        <w:r w:rsidR="00DF33D6" w:rsidRPr="0066429B">
          <w:rPr>
            <w:rStyle w:val="Lienhypertexte"/>
            <w:rFonts w:ascii="Bookman Old Style" w:hAnsi="Bookman Old Style"/>
            <w:noProof/>
          </w:rPr>
          <w:t>Tableau 8 : Situation actif agricole mobilisé pour la MO agricole avant et après GFS</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_Toc97822387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33</w:t>
        </w:r>
        <w:r w:rsidR="00DF33D6" w:rsidRPr="0066429B">
          <w:rPr>
            <w:rFonts w:ascii="Bookman Old Style" w:hAnsi="Bookman Old Style"/>
            <w:noProof/>
            <w:webHidden/>
          </w:rPr>
          <w:fldChar w:fldCharType="end"/>
        </w:r>
      </w:hyperlink>
    </w:p>
    <w:p w14:paraId="4DA46519" w14:textId="672E68D3"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8" w:history="1">
        <w:r w:rsidR="00DF33D6" w:rsidRPr="0066429B">
          <w:rPr>
            <w:rStyle w:val="Lienhypertexte"/>
            <w:rFonts w:ascii="Bookman Old Style" w:hAnsi="Bookman Old Style"/>
            <w:noProof/>
          </w:rPr>
          <w:t>Tableau 9 : Tenue des documents de gestion selon les régions</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_Toc97822388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44</w:t>
        </w:r>
        <w:r w:rsidR="00DF33D6" w:rsidRPr="0066429B">
          <w:rPr>
            <w:rFonts w:ascii="Bookman Old Style" w:hAnsi="Bookman Old Style"/>
            <w:noProof/>
            <w:webHidden/>
          </w:rPr>
          <w:fldChar w:fldCharType="end"/>
        </w:r>
      </w:hyperlink>
    </w:p>
    <w:p w14:paraId="36C74E6B" w14:textId="76141EA3" w:rsidR="00DF33D6"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2389" w:history="1">
        <w:r w:rsidR="00DF33D6" w:rsidRPr="0066429B">
          <w:rPr>
            <w:rStyle w:val="Lienhypertexte"/>
            <w:rFonts w:ascii="Bookman Old Style" w:hAnsi="Bookman Old Style"/>
            <w:noProof/>
          </w:rPr>
          <w:t>Tableau 10 : Niveau d’appréciation des bénéficiaires</w:t>
        </w:r>
        <w:r w:rsidR="00DF33D6" w:rsidRPr="0066429B">
          <w:rPr>
            <w:rFonts w:ascii="Bookman Old Style" w:hAnsi="Bookman Old Style"/>
            <w:noProof/>
            <w:webHidden/>
          </w:rPr>
          <w:tab/>
        </w:r>
        <w:r w:rsidR="00DF33D6" w:rsidRPr="0066429B">
          <w:rPr>
            <w:rFonts w:ascii="Bookman Old Style" w:hAnsi="Bookman Old Style"/>
            <w:noProof/>
            <w:webHidden/>
          </w:rPr>
          <w:fldChar w:fldCharType="begin"/>
        </w:r>
        <w:r w:rsidR="00DF33D6" w:rsidRPr="0066429B">
          <w:rPr>
            <w:rFonts w:ascii="Bookman Old Style" w:hAnsi="Bookman Old Style"/>
            <w:noProof/>
            <w:webHidden/>
          </w:rPr>
          <w:instrText xml:space="preserve"> PAGEREF _Toc97822389 \h </w:instrText>
        </w:r>
        <w:r w:rsidR="00DF33D6" w:rsidRPr="0066429B">
          <w:rPr>
            <w:rFonts w:ascii="Bookman Old Style" w:hAnsi="Bookman Old Style"/>
            <w:noProof/>
            <w:webHidden/>
          </w:rPr>
        </w:r>
        <w:r w:rsidR="00DF33D6" w:rsidRPr="0066429B">
          <w:rPr>
            <w:rFonts w:ascii="Bookman Old Style" w:hAnsi="Bookman Old Style"/>
            <w:noProof/>
            <w:webHidden/>
          </w:rPr>
          <w:fldChar w:fldCharType="separate"/>
        </w:r>
        <w:r w:rsidR="00DF33D6" w:rsidRPr="0066429B">
          <w:rPr>
            <w:rFonts w:ascii="Bookman Old Style" w:hAnsi="Bookman Old Style"/>
            <w:noProof/>
            <w:webHidden/>
          </w:rPr>
          <w:t>45</w:t>
        </w:r>
        <w:r w:rsidR="00DF33D6" w:rsidRPr="0066429B">
          <w:rPr>
            <w:rFonts w:ascii="Bookman Old Style" w:hAnsi="Bookman Old Style"/>
            <w:noProof/>
            <w:webHidden/>
          </w:rPr>
          <w:fldChar w:fldCharType="end"/>
        </w:r>
      </w:hyperlink>
    </w:p>
    <w:p w14:paraId="6B2351EB" w14:textId="17182CA6" w:rsidR="00610328" w:rsidRDefault="004D723C" w:rsidP="0066429B">
      <w:pPr>
        <w:spacing w:line="276" w:lineRule="auto"/>
        <w:rPr>
          <w:rFonts w:ascii="Bookman Old Style" w:hAnsi="Bookman Old Style" w:cs="Arial"/>
        </w:rPr>
      </w:pPr>
      <w:r w:rsidRPr="0066429B">
        <w:rPr>
          <w:rFonts w:ascii="Bookman Old Style" w:hAnsi="Bookman Old Style" w:cs="Arial"/>
        </w:rPr>
        <w:fldChar w:fldCharType="end"/>
      </w:r>
    </w:p>
    <w:p w14:paraId="66DF316A" w14:textId="6BDD0572" w:rsidR="00610328" w:rsidRDefault="00610328">
      <w:pPr>
        <w:rPr>
          <w:rFonts w:ascii="Bookman Old Style" w:hAnsi="Bookman Old Style" w:cs="Arial"/>
        </w:rPr>
      </w:pPr>
    </w:p>
    <w:p w14:paraId="1926CD85" w14:textId="479A7175" w:rsidR="00610328" w:rsidRDefault="00610328">
      <w:pPr>
        <w:rPr>
          <w:rFonts w:ascii="Bookman Old Style" w:hAnsi="Bookman Old Style" w:cs="Arial"/>
        </w:rPr>
      </w:pPr>
    </w:p>
    <w:p w14:paraId="0AFF5E44" w14:textId="47ED0C66" w:rsidR="00610328" w:rsidRDefault="00610328">
      <w:pPr>
        <w:rPr>
          <w:rFonts w:ascii="Bookman Old Style" w:hAnsi="Bookman Old Style" w:cs="Arial"/>
        </w:rPr>
      </w:pPr>
    </w:p>
    <w:p w14:paraId="6C016DBC" w14:textId="04DB1C1E" w:rsidR="00610328" w:rsidRDefault="00610328">
      <w:pPr>
        <w:rPr>
          <w:rFonts w:ascii="Bookman Old Style" w:hAnsi="Bookman Old Style" w:cs="Arial"/>
        </w:rPr>
      </w:pPr>
    </w:p>
    <w:p w14:paraId="64D2603F" w14:textId="36310F49" w:rsidR="00610328" w:rsidRDefault="00610328">
      <w:pPr>
        <w:rPr>
          <w:rFonts w:ascii="Bookman Old Style" w:hAnsi="Bookman Old Style" w:cs="Arial"/>
        </w:rPr>
      </w:pPr>
    </w:p>
    <w:p w14:paraId="1324430E" w14:textId="37FE98EC" w:rsidR="00610328" w:rsidRDefault="00610328">
      <w:pPr>
        <w:rPr>
          <w:rFonts w:ascii="Bookman Old Style" w:hAnsi="Bookman Old Style" w:cs="Arial"/>
        </w:rPr>
      </w:pPr>
    </w:p>
    <w:p w14:paraId="3D3D5EA4" w14:textId="50E20F72" w:rsidR="00610328" w:rsidRDefault="00610328">
      <w:pPr>
        <w:rPr>
          <w:rFonts w:ascii="Bookman Old Style" w:hAnsi="Bookman Old Style" w:cs="Arial"/>
        </w:rPr>
      </w:pPr>
    </w:p>
    <w:p w14:paraId="0B776148" w14:textId="5AF6BA79" w:rsidR="00610328" w:rsidRDefault="00610328">
      <w:pPr>
        <w:rPr>
          <w:rFonts w:ascii="Bookman Old Style" w:hAnsi="Bookman Old Style" w:cs="Arial"/>
        </w:rPr>
      </w:pPr>
    </w:p>
    <w:p w14:paraId="465C89E6" w14:textId="283D4E0C" w:rsidR="00610328" w:rsidRDefault="00610328">
      <w:pPr>
        <w:rPr>
          <w:rFonts w:ascii="Bookman Old Style" w:hAnsi="Bookman Old Style" w:cs="Arial"/>
        </w:rPr>
      </w:pPr>
    </w:p>
    <w:p w14:paraId="52E7DAA1" w14:textId="63DE981C" w:rsidR="00610328" w:rsidRDefault="00610328">
      <w:pPr>
        <w:rPr>
          <w:rFonts w:ascii="Bookman Old Style" w:hAnsi="Bookman Old Style" w:cs="Arial"/>
        </w:rPr>
      </w:pPr>
    </w:p>
    <w:p w14:paraId="6D7E65F3" w14:textId="638169E5" w:rsidR="00610328" w:rsidRDefault="00610328">
      <w:pPr>
        <w:rPr>
          <w:rFonts w:ascii="Bookman Old Style" w:hAnsi="Bookman Old Style" w:cs="Arial"/>
        </w:rPr>
      </w:pPr>
    </w:p>
    <w:p w14:paraId="76C851D3" w14:textId="4723B388" w:rsidR="00610328" w:rsidRDefault="00610328">
      <w:pPr>
        <w:rPr>
          <w:rFonts w:ascii="Bookman Old Style" w:hAnsi="Bookman Old Style" w:cs="Arial"/>
        </w:rPr>
      </w:pPr>
    </w:p>
    <w:p w14:paraId="3FAB4B77" w14:textId="01BBC51F" w:rsidR="00610328" w:rsidRDefault="00610328">
      <w:pPr>
        <w:rPr>
          <w:rFonts w:ascii="Bookman Old Style" w:hAnsi="Bookman Old Style" w:cs="Arial"/>
        </w:rPr>
      </w:pPr>
    </w:p>
    <w:p w14:paraId="1B85F85A" w14:textId="2ACDA434" w:rsidR="00610328" w:rsidRDefault="00610328">
      <w:pPr>
        <w:rPr>
          <w:rFonts w:ascii="Bookman Old Style" w:hAnsi="Bookman Old Style" w:cs="Arial"/>
        </w:rPr>
      </w:pPr>
    </w:p>
    <w:p w14:paraId="28104A90" w14:textId="77777777" w:rsidR="00DC41A2" w:rsidRDefault="00DC41A2" w:rsidP="00807B10">
      <w:pPr>
        <w:pStyle w:val="Titre1"/>
        <w:numPr>
          <w:ilvl w:val="0"/>
          <w:numId w:val="0"/>
        </w:numPr>
        <w:ind w:left="432" w:hanging="432"/>
        <w:rPr>
          <w:rFonts w:ascii="Bookman Old Style" w:hAnsi="Bookman Old Style" w:cs="Arial"/>
        </w:rPr>
      </w:pPr>
    </w:p>
    <w:p w14:paraId="415ED915" w14:textId="77777777" w:rsidR="00DC41A2" w:rsidRDefault="00DC41A2" w:rsidP="00807B10">
      <w:pPr>
        <w:pStyle w:val="Titre1"/>
        <w:numPr>
          <w:ilvl w:val="0"/>
          <w:numId w:val="0"/>
        </w:numPr>
        <w:ind w:left="432" w:hanging="432"/>
        <w:rPr>
          <w:rFonts w:ascii="Bookman Old Style" w:hAnsi="Bookman Old Style" w:cs="Arial"/>
        </w:rPr>
      </w:pPr>
    </w:p>
    <w:p w14:paraId="08E8909F" w14:textId="77777777" w:rsidR="00DC41A2" w:rsidRDefault="00DC41A2">
      <w:pPr>
        <w:rPr>
          <w:rFonts w:ascii="Bookman Old Style" w:hAnsi="Bookman Old Style" w:cs="Arial"/>
          <w:color w:val="008080"/>
          <w:sz w:val="36"/>
          <w:szCs w:val="36"/>
        </w:rPr>
      </w:pPr>
      <w:r>
        <w:rPr>
          <w:rFonts w:ascii="Bookman Old Style" w:hAnsi="Bookman Old Style" w:cs="Arial"/>
        </w:rPr>
        <w:br w:type="page"/>
      </w:r>
    </w:p>
    <w:p w14:paraId="2E212387" w14:textId="1FA7F180" w:rsidR="00610328" w:rsidRPr="00326AF2" w:rsidRDefault="00610328" w:rsidP="00807B10">
      <w:pPr>
        <w:pStyle w:val="Titre1"/>
        <w:numPr>
          <w:ilvl w:val="0"/>
          <w:numId w:val="0"/>
        </w:numPr>
        <w:ind w:left="432" w:hanging="432"/>
        <w:rPr>
          <w:rFonts w:ascii="Bookman Old Style" w:hAnsi="Bookman Old Style" w:cs="Arial"/>
          <w:b/>
          <w:bCs/>
          <w:sz w:val="24"/>
          <w:szCs w:val="24"/>
        </w:rPr>
      </w:pPr>
      <w:bookmarkStart w:id="2" w:name="_Toc97822338"/>
      <w:r w:rsidRPr="00326AF2">
        <w:rPr>
          <w:rFonts w:ascii="Bookman Old Style" w:hAnsi="Bookman Old Style" w:cs="Arial"/>
          <w:b/>
          <w:bCs/>
          <w:sz w:val="24"/>
          <w:szCs w:val="24"/>
        </w:rPr>
        <w:lastRenderedPageBreak/>
        <w:t xml:space="preserve">Liste des </w:t>
      </w:r>
      <w:r w:rsidR="00B91700" w:rsidRPr="00326AF2">
        <w:rPr>
          <w:rFonts w:ascii="Bookman Old Style" w:hAnsi="Bookman Old Style" w:cs="Arial"/>
          <w:b/>
          <w:bCs/>
          <w:sz w:val="24"/>
          <w:szCs w:val="24"/>
        </w:rPr>
        <w:t>figure</w:t>
      </w:r>
      <w:r w:rsidRPr="00326AF2">
        <w:rPr>
          <w:rFonts w:ascii="Bookman Old Style" w:hAnsi="Bookman Old Style" w:cs="Arial"/>
          <w:b/>
          <w:bCs/>
          <w:sz w:val="24"/>
          <w:szCs w:val="24"/>
        </w:rPr>
        <w:t>s</w:t>
      </w:r>
      <w:bookmarkEnd w:id="2"/>
    </w:p>
    <w:p w14:paraId="665699AD" w14:textId="187A7A47" w:rsidR="0066429B" w:rsidRPr="0066429B" w:rsidRDefault="003D37B5"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r w:rsidRPr="0066429B">
        <w:rPr>
          <w:rFonts w:ascii="Bookman Old Style" w:hAnsi="Bookman Old Style" w:cs="Arial"/>
        </w:rPr>
        <w:fldChar w:fldCharType="begin"/>
      </w:r>
      <w:r w:rsidRPr="0066429B">
        <w:rPr>
          <w:rFonts w:ascii="Bookman Old Style" w:hAnsi="Bookman Old Style" w:cs="Arial"/>
        </w:rPr>
        <w:instrText xml:space="preserve"> TOC \h \z \c "Figure" </w:instrText>
      </w:r>
      <w:r w:rsidRPr="0066429B">
        <w:rPr>
          <w:rFonts w:ascii="Bookman Old Style" w:hAnsi="Bookman Old Style" w:cs="Arial"/>
        </w:rPr>
        <w:fldChar w:fldCharType="separate"/>
      </w:r>
      <w:hyperlink w:anchor="_Toc97823214" w:history="1">
        <w:r w:rsidR="0066429B" w:rsidRPr="0066429B">
          <w:rPr>
            <w:rStyle w:val="Lienhypertexte"/>
            <w:rFonts w:ascii="Bookman Old Style" w:hAnsi="Bookman Old Style"/>
            <w:noProof/>
          </w:rPr>
          <w:t>Figure 1 : Situation des groupements MMD par PDE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_Toc97823214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17</w:t>
        </w:r>
        <w:r w:rsidR="0066429B" w:rsidRPr="0066429B">
          <w:rPr>
            <w:rFonts w:ascii="Bookman Old Style" w:hAnsi="Bookman Old Style"/>
            <w:noProof/>
            <w:webHidden/>
          </w:rPr>
          <w:fldChar w:fldCharType="end"/>
        </w:r>
      </w:hyperlink>
    </w:p>
    <w:p w14:paraId="23527B62" w14:textId="7D76BDA9"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15" w:history="1">
        <w:r w:rsidR="0066429B" w:rsidRPr="0066429B">
          <w:rPr>
            <w:rStyle w:val="Lienhypertexte"/>
            <w:rFonts w:ascii="Bookman Old Style" w:hAnsi="Bookman Old Style"/>
            <w:noProof/>
          </w:rPr>
          <w:t>Figure 2 : Nombre de membre GFS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_Toc97823215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18</w:t>
        </w:r>
        <w:r w:rsidR="0066429B" w:rsidRPr="0066429B">
          <w:rPr>
            <w:rFonts w:ascii="Bookman Old Style" w:hAnsi="Bookman Old Style"/>
            <w:noProof/>
            <w:webHidden/>
          </w:rPr>
          <w:fldChar w:fldCharType="end"/>
        </w:r>
      </w:hyperlink>
    </w:p>
    <w:p w14:paraId="2E5429E8" w14:textId="1EC883CC"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16" w:history="1">
        <w:r w:rsidR="0066429B" w:rsidRPr="0066429B">
          <w:rPr>
            <w:rStyle w:val="Lienhypertexte"/>
            <w:rFonts w:ascii="Bookman Old Style" w:hAnsi="Bookman Old Style"/>
            <w:noProof/>
          </w:rPr>
          <w:t>Figure 3 : Moyenne des membres GFS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_Toc97823216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19</w:t>
        </w:r>
        <w:r w:rsidR="0066429B" w:rsidRPr="0066429B">
          <w:rPr>
            <w:rFonts w:ascii="Bookman Old Style" w:hAnsi="Bookman Old Style"/>
            <w:noProof/>
            <w:webHidden/>
          </w:rPr>
          <w:fldChar w:fldCharType="end"/>
        </w:r>
      </w:hyperlink>
    </w:p>
    <w:p w14:paraId="6DD871CF" w14:textId="06FCAF35"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17" w:history="1">
        <w:r w:rsidR="0066429B" w:rsidRPr="0066429B">
          <w:rPr>
            <w:rStyle w:val="Lienhypertexte"/>
            <w:rFonts w:ascii="Bookman Old Style" w:hAnsi="Bookman Old Style"/>
            <w:noProof/>
          </w:rPr>
          <w:t>Figure 4 : Type de ménage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_Toc97823217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19</w:t>
        </w:r>
        <w:r w:rsidR="0066429B" w:rsidRPr="0066429B">
          <w:rPr>
            <w:rFonts w:ascii="Bookman Old Style" w:hAnsi="Bookman Old Style"/>
            <w:noProof/>
            <w:webHidden/>
          </w:rPr>
          <w:fldChar w:fldCharType="end"/>
        </w:r>
      </w:hyperlink>
    </w:p>
    <w:p w14:paraId="23930BCF" w14:textId="1959CE0D"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18" w:history="1">
        <w:r w:rsidR="0066429B" w:rsidRPr="0066429B">
          <w:rPr>
            <w:rStyle w:val="Lienhypertexte"/>
            <w:rFonts w:ascii="Bookman Old Style" w:hAnsi="Bookman Old Style"/>
            <w:noProof/>
          </w:rPr>
          <w:t>Figure 5 : Taille par type de ménage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_Toc97823218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20</w:t>
        </w:r>
        <w:r w:rsidR="0066429B" w:rsidRPr="0066429B">
          <w:rPr>
            <w:rFonts w:ascii="Bookman Old Style" w:hAnsi="Bookman Old Style"/>
            <w:noProof/>
            <w:webHidden/>
          </w:rPr>
          <w:fldChar w:fldCharType="end"/>
        </w:r>
      </w:hyperlink>
    </w:p>
    <w:p w14:paraId="5B38D68B" w14:textId="05324AED"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19" w:history="1">
        <w:r w:rsidR="0066429B" w:rsidRPr="0066429B">
          <w:rPr>
            <w:rStyle w:val="Lienhypertexte"/>
            <w:rFonts w:ascii="Bookman Old Style" w:hAnsi="Bookman Old Style"/>
            <w:noProof/>
          </w:rPr>
          <w:t>Figure 6 : Proportion des enfants de moins de 5ans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_Toc97823219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20</w:t>
        </w:r>
        <w:r w:rsidR="0066429B" w:rsidRPr="0066429B">
          <w:rPr>
            <w:rFonts w:ascii="Bookman Old Style" w:hAnsi="Bookman Old Style"/>
            <w:noProof/>
            <w:webHidden/>
          </w:rPr>
          <w:fldChar w:fldCharType="end"/>
        </w:r>
      </w:hyperlink>
    </w:p>
    <w:p w14:paraId="2E8B843D" w14:textId="7D2268DA"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0" w:history="1">
        <w:r w:rsidR="0066429B" w:rsidRPr="0066429B">
          <w:rPr>
            <w:rStyle w:val="Lienhypertexte"/>
            <w:rFonts w:ascii="Bookman Old Style" w:hAnsi="Bookman Old Style"/>
            <w:noProof/>
          </w:rPr>
          <w:t>Figure 7 : Proportion des enfants de moins de 5ans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_Toc97823220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21</w:t>
        </w:r>
        <w:r w:rsidR="0066429B" w:rsidRPr="0066429B">
          <w:rPr>
            <w:rFonts w:ascii="Bookman Old Style" w:hAnsi="Bookman Old Style"/>
            <w:noProof/>
            <w:webHidden/>
          </w:rPr>
          <w:fldChar w:fldCharType="end"/>
        </w:r>
      </w:hyperlink>
    </w:p>
    <w:p w14:paraId="395CE7A9" w14:textId="4C999454"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1" w:history="1">
        <w:r w:rsidR="0066429B" w:rsidRPr="0066429B">
          <w:rPr>
            <w:rStyle w:val="Lienhypertexte"/>
            <w:rFonts w:ascii="Bookman Old Style" w:hAnsi="Bookman Old Style"/>
            <w:noProof/>
          </w:rPr>
          <w:t>Figure 8 : Moyenne taille des ménages et d’actifs agricoles</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_Toc97823221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22</w:t>
        </w:r>
        <w:r w:rsidR="0066429B" w:rsidRPr="0066429B">
          <w:rPr>
            <w:rFonts w:ascii="Bookman Old Style" w:hAnsi="Bookman Old Style"/>
            <w:noProof/>
            <w:webHidden/>
          </w:rPr>
          <w:fldChar w:fldCharType="end"/>
        </w:r>
      </w:hyperlink>
    </w:p>
    <w:p w14:paraId="3C300D85" w14:textId="1B7D64B3"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2" w:history="1">
        <w:r w:rsidR="0066429B" w:rsidRPr="0066429B">
          <w:rPr>
            <w:rStyle w:val="Lienhypertexte"/>
            <w:rFonts w:ascii="Bookman Old Style" w:hAnsi="Bookman Old Style"/>
            <w:noProof/>
          </w:rPr>
          <w:t>Figure 9 : Consentement des maris pour le prêt</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_Toc97823222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23</w:t>
        </w:r>
        <w:r w:rsidR="0066429B" w:rsidRPr="0066429B">
          <w:rPr>
            <w:rFonts w:ascii="Bookman Old Style" w:hAnsi="Bookman Old Style"/>
            <w:noProof/>
            <w:webHidden/>
          </w:rPr>
          <w:fldChar w:fldCharType="end"/>
        </w:r>
      </w:hyperlink>
    </w:p>
    <w:p w14:paraId="1A8379F7" w14:textId="3DA9FEF6"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3" w:history="1">
        <w:r w:rsidR="0066429B" w:rsidRPr="0066429B">
          <w:rPr>
            <w:rStyle w:val="Lienhypertexte"/>
            <w:rFonts w:ascii="Bookman Old Style" w:hAnsi="Bookman Old Style"/>
            <w:noProof/>
          </w:rPr>
          <w:t>Figure 10 : Période de distribution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_Toc97823223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25</w:t>
        </w:r>
        <w:r w:rsidR="0066429B" w:rsidRPr="0066429B">
          <w:rPr>
            <w:rFonts w:ascii="Bookman Old Style" w:hAnsi="Bookman Old Style"/>
            <w:noProof/>
            <w:webHidden/>
          </w:rPr>
          <w:fldChar w:fldCharType="end"/>
        </w:r>
      </w:hyperlink>
    </w:p>
    <w:p w14:paraId="40EAB99E" w14:textId="58EA1967"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4" w:history="1">
        <w:r w:rsidR="0066429B" w:rsidRPr="0066429B">
          <w:rPr>
            <w:rStyle w:val="Lienhypertexte"/>
            <w:rFonts w:ascii="Bookman Old Style" w:hAnsi="Bookman Old Style"/>
            <w:noProof/>
          </w:rPr>
          <w:t>Figure 11 : Sources de remboursement de prêt</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_Toc97823224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26</w:t>
        </w:r>
        <w:r w:rsidR="0066429B" w:rsidRPr="0066429B">
          <w:rPr>
            <w:rFonts w:ascii="Bookman Old Style" w:hAnsi="Bookman Old Style"/>
            <w:noProof/>
            <w:webHidden/>
          </w:rPr>
          <w:fldChar w:fldCharType="end"/>
        </w:r>
      </w:hyperlink>
    </w:p>
    <w:p w14:paraId="07DFC7C8" w14:textId="20C62A1A"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5" w:history="1">
        <w:r w:rsidR="0066429B" w:rsidRPr="0066429B">
          <w:rPr>
            <w:rStyle w:val="Lienhypertexte"/>
            <w:rFonts w:ascii="Bookman Old Style" w:hAnsi="Bookman Old Style"/>
            <w:noProof/>
          </w:rPr>
          <w:t>Figure 12 : Sources de remboursement de prêt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_Toc97823225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26</w:t>
        </w:r>
        <w:r w:rsidR="0066429B" w:rsidRPr="0066429B">
          <w:rPr>
            <w:rFonts w:ascii="Bookman Old Style" w:hAnsi="Bookman Old Style"/>
            <w:noProof/>
            <w:webHidden/>
          </w:rPr>
          <w:fldChar w:fldCharType="end"/>
        </w:r>
      </w:hyperlink>
    </w:p>
    <w:p w14:paraId="2EFFEDEB" w14:textId="2BBB1633"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6" w:history="1">
        <w:r w:rsidR="0066429B" w:rsidRPr="0066429B">
          <w:rPr>
            <w:rStyle w:val="Lienhypertexte"/>
            <w:rFonts w:ascii="Bookman Old Style" w:hAnsi="Bookman Old Style"/>
            <w:noProof/>
          </w:rPr>
          <w:t>Figure 13 : Situation de remboursement de prêt</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_Toc97823226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27</w:t>
        </w:r>
        <w:r w:rsidR="0066429B" w:rsidRPr="0066429B">
          <w:rPr>
            <w:rFonts w:ascii="Bookman Old Style" w:hAnsi="Bookman Old Style"/>
            <w:noProof/>
            <w:webHidden/>
          </w:rPr>
          <w:fldChar w:fldCharType="end"/>
        </w:r>
      </w:hyperlink>
    </w:p>
    <w:p w14:paraId="2B5714EF" w14:textId="018F4FF5"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7" w:history="1">
        <w:r w:rsidR="0066429B" w:rsidRPr="0066429B">
          <w:rPr>
            <w:rStyle w:val="Lienhypertexte"/>
            <w:rFonts w:ascii="Bookman Old Style" w:hAnsi="Bookman Old Style"/>
            <w:noProof/>
          </w:rPr>
          <w:t>Figure 14 : Durée d’autoconsommation 1</w:t>
        </w:r>
        <w:r w:rsidR="0066429B" w:rsidRPr="0066429B">
          <w:rPr>
            <w:rStyle w:val="Lienhypertexte"/>
            <w:rFonts w:ascii="Bookman Old Style" w:hAnsi="Bookman Old Style"/>
            <w:noProof/>
            <w:vertAlign w:val="superscript"/>
          </w:rPr>
          <w:t>ère</w:t>
        </w:r>
        <w:r w:rsidR="0066429B" w:rsidRPr="0066429B">
          <w:rPr>
            <w:rStyle w:val="Lienhypertexte"/>
            <w:rFonts w:ascii="Bookman Old Style" w:hAnsi="Bookman Old Style"/>
            <w:noProof/>
          </w:rPr>
          <w:t xml:space="preserve"> cession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_Toc97823227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28</w:t>
        </w:r>
        <w:r w:rsidR="0066429B" w:rsidRPr="0066429B">
          <w:rPr>
            <w:rFonts w:ascii="Bookman Old Style" w:hAnsi="Bookman Old Style"/>
            <w:noProof/>
            <w:webHidden/>
          </w:rPr>
          <w:fldChar w:fldCharType="end"/>
        </w:r>
      </w:hyperlink>
    </w:p>
    <w:p w14:paraId="46CAD004" w14:textId="67EC32CD"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8" w:history="1">
        <w:r w:rsidR="0066429B" w:rsidRPr="0066429B">
          <w:rPr>
            <w:rStyle w:val="Lienhypertexte"/>
            <w:rFonts w:ascii="Bookman Old Style" w:hAnsi="Bookman Old Style"/>
            <w:noProof/>
          </w:rPr>
          <w:t>Figure 15 : Durée d’autoconsommation 1</w:t>
        </w:r>
        <w:r w:rsidR="0066429B" w:rsidRPr="0066429B">
          <w:rPr>
            <w:rStyle w:val="Lienhypertexte"/>
            <w:rFonts w:ascii="Bookman Old Style" w:hAnsi="Bookman Old Style"/>
            <w:noProof/>
            <w:vertAlign w:val="superscript"/>
          </w:rPr>
          <w:t>ère</w:t>
        </w:r>
        <w:r w:rsidR="0066429B" w:rsidRPr="0066429B">
          <w:rPr>
            <w:rStyle w:val="Lienhypertexte"/>
            <w:rFonts w:ascii="Bookman Old Style" w:hAnsi="Bookman Old Style"/>
            <w:noProof/>
          </w:rPr>
          <w:t xml:space="preserve"> cession par PDE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_Toc97823228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29</w:t>
        </w:r>
        <w:r w:rsidR="0066429B" w:rsidRPr="0066429B">
          <w:rPr>
            <w:rFonts w:ascii="Bookman Old Style" w:hAnsi="Bookman Old Style"/>
            <w:noProof/>
            <w:webHidden/>
          </w:rPr>
          <w:fldChar w:fldCharType="end"/>
        </w:r>
      </w:hyperlink>
    </w:p>
    <w:p w14:paraId="6D9B1652" w14:textId="390AFFE2"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29" w:history="1">
        <w:r w:rsidR="0066429B" w:rsidRPr="0066429B">
          <w:rPr>
            <w:rStyle w:val="Lienhypertexte"/>
            <w:rFonts w:ascii="Bookman Old Style" w:hAnsi="Bookman Old Style"/>
            <w:noProof/>
          </w:rPr>
          <w:t>Figure 16 : Durée d’autoconsommation 2è cession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_Toc97823229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30</w:t>
        </w:r>
        <w:r w:rsidR="0066429B" w:rsidRPr="0066429B">
          <w:rPr>
            <w:rFonts w:ascii="Bookman Old Style" w:hAnsi="Bookman Old Style"/>
            <w:noProof/>
            <w:webHidden/>
          </w:rPr>
          <w:fldChar w:fldCharType="end"/>
        </w:r>
      </w:hyperlink>
    </w:p>
    <w:p w14:paraId="71B44511" w14:textId="424EE18A"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0" w:history="1">
        <w:r w:rsidR="0066429B" w:rsidRPr="0066429B">
          <w:rPr>
            <w:rStyle w:val="Lienhypertexte"/>
            <w:rFonts w:ascii="Bookman Old Style" w:hAnsi="Bookman Old Style"/>
            <w:noProof/>
          </w:rPr>
          <w:t>Figure 17 : Durée d’autoconsommation 2è cession par PDE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_Toc97823230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31</w:t>
        </w:r>
        <w:r w:rsidR="0066429B" w:rsidRPr="0066429B">
          <w:rPr>
            <w:rFonts w:ascii="Bookman Old Style" w:hAnsi="Bookman Old Style"/>
            <w:noProof/>
            <w:webHidden/>
          </w:rPr>
          <w:fldChar w:fldCharType="end"/>
        </w:r>
      </w:hyperlink>
    </w:p>
    <w:p w14:paraId="2BCA91FE" w14:textId="7F3F4661"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1" w:history="1">
        <w:r w:rsidR="0066429B" w:rsidRPr="0066429B">
          <w:rPr>
            <w:rStyle w:val="Lienhypertexte"/>
            <w:rFonts w:ascii="Bookman Old Style" w:hAnsi="Bookman Old Style"/>
            <w:noProof/>
          </w:rPr>
          <w:t>Figure 18 : Réduction de période de soudure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_Toc97823231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31</w:t>
        </w:r>
        <w:r w:rsidR="0066429B" w:rsidRPr="0066429B">
          <w:rPr>
            <w:rFonts w:ascii="Bookman Old Style" w:hAnsi="Bookman Old Style"/>
            <w:noProof/>
            <w:webHidden/>
          </w:rPr>
          <w:fldChar w:fldCharType="end"/>
        </w:r>
      </w:hyperlink>
    </w:p>
    <w:p w14:paraId="154F77A5" w14:textId="703B6C5F"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2" w:history="1">
        <w:r w:rsidR="0066429B" w:rsidRPr="0066429B">
          <w:rPr>
            <w:rStyle w:val="Lienhypertexte"/>
            <w:rFonts w:ascii="Bookman Old Style" w:hAnsi="Bookman Old Style"/>
            <w:noProof/>
          </w:rPr>
          <w:t>Figure 19 : recours à la MO agricole avant GFS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_Toc97823232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32</w:t>
        </w:r>
        <w:r w:rsidR="0066429B" w:rsidRPr="0066429B">
          <w:rPr>
            <w:rFonts w:ascii="Bookman Old Style" w:hAnsi="Bookman Old Style"/>
            <w:noProof/>
            <w:webHidden/>
          </w:rPr>
          <w:fldChar w:fldCharType="end"/>
        </w:r>
      </w:hyperlink>
    </w:p>
    <w:p w14:paraId="24ADBB87" w14:textId="5CF05766"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3" w:history="1">
        <w:r w:rsidR="0066429B" w:rsidRPr="0066429B">
          <w:rPr>
            <w:rStyle w:val="Lienhypertexte"/>
            <w:rFonts w:ascii="Bookman Old Style" w:hAnsi="Bookman Old Style"/>
            <w:noProof/>
          </w:rPr>
          <w:t>Figure 20 : Recours à la MO agricole avant GFS par PDE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_Toc97823233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33</w:t>
        </w:r>
        <w:r w:rsidR="0066429B" w:rsidRPr="0066429B">
          <w:rPr>
            <w:rFonts w:ascii="Bookman Old Style" w:hAnsi="Bookman Old Style"/>
            <w:noProof/>
            <w:webHidden/>
          </w:rPr>
          <w:fldChar w:fldCharType="end"/>
        </w:r>
      </w:hyperlink>
    </w:p>
    <w:p w14:paraId="37FFE191" w14:textId="651AEC17"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4" w:history="1">
        <w:r w:rsidR="0066429B" w:rsidRPr="0066429B">
          <w:rPr>
            <w:rStyle w:val="Lienhypertexte"/>
            <w:rFonts w:ascii="Bookman Old Style" w:hAnsi="Bookman Old Style"/>
            <w:noProof/>
          </w:rPr>
          <w:t>Figure 21 : Nombre actifs agricoles mobilisés pour la MO agricole avant et après GFS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_Toc97823234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34</w:t>
        </w:r>
        <w:r w:rsidR="0066429B" w:rsidRPr="0066429B">
          <w:rPr>
            <w:rFonts w:ascii="Bookman Old Style" w:hAnsi="Bookman Old Style"/>
            <w:noProof/>
            <w:webHidden/>
          </w:rPr>
          <w:fldChar w:fldCharType="end"/>
        </w:r>
      </w:hyperlink>
    </w:p>
    <w:p w14:paraId="6E7D4201" w14:textId="423947E1"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5" w:history="1">
        <w:r w:rsidR="0066429B" w:rsidRPr="0066429B">
          <w:rPr>
            <w:rStyle w:val="Lienhypertexte"/>
            <w:rFonts w:ascii="Bookman Old Style" w:hAnsi="Bookman Old Style"/>
            <w:noProof/>
          </w:rPr>
          <w:t>Figure 22 : Nombre de jour moyen consacré à la MO agricole avant et après GFS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_Toc97823235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35</w:t>
        </w:r>
        <w:r w:rsidR="0066429B" w:rsidRPr="0066429B">
          <w:rPr>
            <w:rFonts w:ascii="Bookman Old Style" w:hAnsi="Bookman Old Style"/>
            <w:noProof/>
            <w:webHidden/>
          </w:rPr>
          <w:fldChar w:fldCharType="end"/>
        </w:r>
      </w:hyperlink>
    </w:p>
    <w:p w14:paraId="565A0165" w14:textId="606EFD1E"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6" w:history="1">
        <w:r w:rsidR="0066429B" w:rsidRPr="0066429B">
          <w:rPr>
            <w:rStyle w:val="Lienhypertexte"/>
            <w:rFonts w:ascii="Bookman Old Style" w:hAnsi="Bookman Old Style"/>
            <w:noProof/>
          </w:rPr>
          <w:t>Figure 23 : Nombre de jour moyen consacré à la MO agricole avant et après GFS par PDE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_Toc97823236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36</w:t>
        </w:r>
        <w:r w:rsidR="0066429B" w:rsidRPr="0066429B">
          <w:rPr>
            <w:rFonts w:ascii="Bookman Old Style" w:hAnsi="Bookman Old Style"/>
            <w:noProof/>
            <w:webHidden/>
          </w:rPr>
          <w:fldChar w:fldCharType="end"/>
        </w:r>
      </w:hyperlink>
    </w:p>
    <w:p w14:paraId="55F46239" w14:textId="2151B046"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7" w:history="1">
        <w:r w:rsidR="0066429B" w:rsidRPr="0066429B">
          <w:rPr>
            <w:rStyle w:val="Lienhypertexte"/>
            <w:rFonts w:ascii="Bookman Old Style" w:hAnsi="Bookman Old Style"/>
            <w:noProof/>
          </w:rPr>
          <w:t>Figure 24 : Taux d'augmentation de nombre de repas/jour et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_Toc97823237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36</w:t>
        </w:r>
        <w:r w:rsidR="0066429B" w:rsidRPr="0066429B">
          <w:rPr>
            <w:rFonts w:ascii="Bookman Old Style" w:hAnsi="Bookman Old Style"/>
            <w:noProof/>
            <w:webHidden/>
          </w:rPr>
          <w:fldChar w:fldCharType="end"/>
        </w:r>
      </w:hyperlink>
    </w:p>
    <w:p w14:paraId="1B68F914" w14:textId="5FB3B9B0"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8" w:history="1">
        <w:r w:rsidR="0066429B" w:rsidRPr="0066429B">
          <w:rPr>
            <w:rStyle w:val="Lienhypertexte"/>
            <w:rFonts w:ascii="Bookman Old Style" w:hAnsi="Bookman Old Style"/>
            <w:noProof/>
          </w:rPr>
          <w:t>Figure 25 : Augmentation de nombre de repas/jour et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_Toc97823238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37</w:t>
        </w:r>
        <w:r w:rsidR="0066429B" w:rsidRPr="0066429B">
          <w:rPr>
            <w:rFonts w:ascii="Bookman Old Style" w:hAnsi="Bookman Old Style"/>
            <w:noProof/>
            <w:webHidden/>
          </w:rPr>
          <w:fldChar w:fldCharType="end"/>
        </w:r>
      </w:hyperlink>
    </w:p>
    <w:p w14:paraId="25283BF9" w14:textId="7E951A2F"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39" w:history="1">
        <w:r w:rsidR="0066429B" w:rsidRPr="0066429B">
          <w:rPr>
            <w:rStyle w:val="Lienhypertexte"/>
            <w:rFonts w:ascii="Bookman Old Style" w:hAnsi="Bookman Old Style"/>
            <w:noProof/>
          </w:rPr>
          <w:t>Figure 26 : Taux d’augmentation de nombre de repas/jour et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_Toc97823239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37</w:t>
        </w:r>
        <w:r w:rsidR="0066429B" w:rsidRPr="0066429B">
          <w:rPr>
            <w:rFonts w:ascii="Bookman Old Style" w:hAnsi="Bookman Old Style"/>
            <w:noProof/>
            <w:webHidden/>
          </w:rPr>
          <w:fldChar w:fldCharType="end"/>
        </w:r>
      </w:hyperlink>
    </w:p>
    <w:p w14:paraId="139192C8" w14:textId="132D9B04"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0" w:history="1">
        <w:r w:rsidR="0066429B" w:rsidRPr="0066429B">
          <w:rPr>
            <w:rStyle w:val="Lienhypertexte"/>
            <w:rFonts w:ascii="Bookman Old Style" w:hAnsi="Bookman Old Style"/>
            <w:noProof/>
          </w:rPr>
          <w:t>Figure 27 : Augmentation de nombre de repas par jour et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_Toc97823240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38</w:t>
        </w:r>
        <w:r w:rsidR="0066429B" w:rsidRPr="0066429B">
          <w:rPr>
            <w:rFonts w:ascii="Bookman Old Style" w:hAnsi="Bookman Old Style"/>
            <w:noProof/>
            <w:webHidden/>
          </w:rPr>
          <w:fldChar w:fldCharType="end"/>
        </w:r>
      </w:hyperlink>
    </w:p>
    <w:p w14:paraId="52B8B588" w14:textId="685F4ACC"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1" w:history="1">
        <w:r w:rsidR="0066429B" w:rsidRPr="0066429B">
          <w:rPr>
            <w:rStyle w:val="Lienhypertexte"/>
            <w:rFonts w:ascii="Bookman Old Style" w:hAnsi="Bookman Old Style"/>
            <w:noProof/>
          </w:rPr>
          <w:t>Figure 28 : Réduction de recours au crédit par Région</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_Toc97823241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39</w:t>
        </w:r>
        <w:r w:rsidR="0066429B" w:rsidRPr="0066429B">
          <w:rPr>
            <w:rFonts w:ascii="Bookman Old Style" w:hAnsi="Bookman Old Style"/>
            <w:noProof/>
            <w:webHidden/>
          </w:rPr>
          <w:fldChar w:fldCharType="end"/>
        </w:r>
      </w:hyperlink>
    </w:p>
    <w:p w14:paraId="13190910" w14:textId="3FB09EFB"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2" w:history="1">
        <w:r w:rsidR="0066429B" w:rsidRPr="0066429B">
          <w:rPr>
            <w:rStyle w:val="Lienhypertexte"/>
            <w:rFonts w:ascii="Bookman Old Style" w:hAnsi="Bookman Old Style"/>
            <w:noProof/>
          </w:rPr>
          <w:t>Figure 29 : Réduction de recours au crédit par PDE</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_Toc97823242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40</w:t>
        </w:r>
        <w:r w:rsidR="0066429B" w:rsidRPr="0066429B">
          <w:rPr>
            <w:rFonts w:ascii="Bookman Old Style" w:hAnsi="Bookman Old Style"/>
            <w:noProof/>
            <w:webHidden/>
          </w:rPr>
          <w:fldChar w:fldCharType="end"/>
        </w:r>
      </w:hyperlink>
    </w:p>
    <w:p w14:paraId="427D5872" w14:textId="7CE5155E"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3" w:history="1">
        <w:r w:rsidR="0066429B" w:rsidRPr="0066429B">
          <w:rPr>
            <w:rStyle w:val="Lienhypertexte"/>
            <w:rFonts w:ascii="Bookman Old Style" w:hAnsi="Bookman Old Style"/>
            <w:noProof/>
          </w:rPr>
          <w:t>Figure 30 : Fréquence des réunions de COGES GFS</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_Toc97823243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41</w:t>
        </w:r>
        <w:r w:rsidR="0066429B" w:rsidRPr="0066429B">
          <w:rPr>
            <w:rFonts w:ascii="Bookman Old Style" w:hAnsi="Bookman Old Style"/>
            <w:noProof/>
            <w:webHidden/>
          </w:rPr>
          <w:fldChar w:fldCharType="end"/>
        </w:r>
      </w:hyperlink>
    </w:p>
    <w:p w14:paraId="5DB6D8A4" w14:textId="6EF88088"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4" w:history="1">
        <w:r w:rsidR="0066429B" w:rsidRPr="0066429B">
          <w:rPr>
            <w:rStyle w:val="Lienhypertexte"/>
            <w:rFonts w:ascii="Bookman Old Style" w:hAnsi="Bookman Old Style"/>
            <w:noProof/>
          </w:rPr>
          <w:t>Figure 31 : Respect de fréquences des réunions</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_Toc97823244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41</w:t>
        </w:r>
        <w:r w:rsidR="0066429B" w:rsidRPr="0066429B">
          <w:rPr>
            <w:rFonts w:ascii="Bookman Old Style" w:hAnsi="Bookman Old Style"/>
            <w:noProof/>
            <w:webHidden/>
          </w:rPr>
          <w:fldChar w:fldCharType="end"/>
        </w:r>
      </w:hyperlink>
    </w:p>
    <w:p w14:paraId="4AA1F381" w14:textId="644FE398"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5" w:history="1">
        <w:r w:rsidR="0066429B" w:rsidRPr="0066429B">
          <w:rPr>
            <w:rStyle w:val="Lienhypertexte"/>
            <w:rFonts w:ascii="Bookman Old Style" w:hAnsi="Bookman Old Style"/>
            <w:noProof/>
          </w:rPr>
          <w:t>Figure 32 : Rédaction des PV des réunions</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_Toc97823245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42</w:t>
        </w:r>
        <w:r w:rsidR="0066429B" w:rsidRPr="0066429B">
          <w:rPr>
            <w:rFonts w:ascii="Bookman Old Style" w:hAnsi="Bookman Old Style"/>
            <w:noProof/>
            <w:webHidden/>
          </w:rPr>
          <w:fldChar w:fldCharType="end"/>
        </w:r>
      </w:hyperlink>
    </w:p>
    <w:p w14:paraId="4207733B" w14:textId="531D76BA"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6" w:history="1">
        <w:r w:rsidR="0066429B" w:rsidRPr="0066429B">
          <w:rPr>
            <w:rStyle w:val="Lienhypertexte"/>
            <w:rFonts w:ascii="Bookman Old Style" w:hAnsi="Bookman Old Style"/>
            <w:noProof/>
          </w:rPr>
          <w:t>Figure 33 : Fréquences de tenue des AG</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_Toc97823246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43</w:t>
        </w:r>
        <w:r w:rsidR="0066429B" w:rsidRPr="0066429B">
          <w:rPr>
            <w:rFonts w:ascii="Bookman Old Style" w:hAnsi="Bookman Old Style"/>
            <w:noProof/>
            <w:webHidden/>
          </w:rPr>
          <w:fldChar w:fldCharType="end"/>
        </w:r>
      </w:hyperlink>
    </w:p>
    <w:p w14:paraId="32DC7055" w14:textId="0A66E99D"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7" w:history="1">
        <w:r w:rsidR="0066429B" w:rsidRPr="0066429B">
          <w:rPr>
            <w:rStyle w:val="Lienhypertexte"/>
            <w:rFonts w:ascii="Bookman Old Style" w:hAnsi="Bookman Old Style"/>
            <w:noProof/>
          </w:rPr>
          <w:t>Figure 34 : Respect des fréquences des AG</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_Toc97823247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43</w:t>
        </w:r>
        <w:r w:rsidR="0066429B" w:rsidRPr="0066429B">
          <w:rPr>
            <w:rFonts w:ascii="Bookman Old Style" w:hAnsi="Bookman Old Style"/>
            <w:noProof/>
            <w:webHidden/>
          </w:rPr>
          <w:fldChar w:fldCharType="end"/>
        </w:r>
      </w:hyperlink>
    </w:p>
    <w:p w14:paraId="4DCE34CF" w14:textId="6D1723AA"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8" w:history="1">
        <w:r w:rsidR="0066429B" w:rsidRPr="0066429B">
          <w:rPr>
            <w:rStyle w:val="Lienhypertexte"/>
            <w:rFonts w:ascii="Bookman Old Style" w:hAnsi="Bookman Old Style"/>
            <w:noProof/>
          </w:rPr>
          <w:t>Figure 35 : Rédaction des PV des AG</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_Toc97823248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44</w:t>
        </w:r>
        <w:r w:rsidR="0066429B" w:rsidRPr="0066429B">
          <w:rPr>
            <w:rFonts w:ascii="Bookman Old Style" w:hAnsi="Bookman Old Style"/>
            <w:noProof/>
            <w:webHidden/>
          </w:rPr>
          <w:fldChar w:fldCharType="end"/>
        </w:r>
      </w:hyperlink>
    </w:p>
    <w:p w14:paraId="7ACCD16C" w14:textId="722C8D01"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49" w:history="1">
        <w:r w:rsidR="0066429B" w:rsidRPr="0066429B">
          <w:rPr>
            <w:rStyle w:val="Lienhypertexte"/>
            <w:rFonts w:ascii="Bookman Old Style" w:hAnsi="Bookman Old Style"/>
            <w:noProof/>
          </w:rPr>
          <w:t>Figure 36 : Tenue des documents de gestion par les COGES</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_Toc97823249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44</w:t>
        </w:r>
        <w:r w:rsidR="0066429B" w:rsidRPr="0066429B">
          <w:rPr>
            <w:rFonts w:ascii="Bookman Old Style" w:hAnsi="Bookman Old Style"/>
            <w:noProof/>
            <w:webHidden/>
          </w:rPr>
          <w:fldChar w:fldCharType="end"/>
        </w:r>
      </w:hyperlink>
    </w:p>
    <w:p w14:paraId="1E8B0F7A" w14:textId="1A0F68B7" w:rsidR="0066429B" w:rsidRPr="0066429B" w:rsidRDefault="00000000" w:rsidP="0066429B">
      <w:pPr>
        <w:pStyle w:val="Tabledesillustrations"/>
        <w:tabs>
          <w:tab w:val="right" w:leader="hyphen" w:pos="9017"/>
        </w:tabs>
        <w:spacing w:line="276" w:lineRule="auto"/>
        <w:rPr>
          <w:rFonts w:ascii="Bookman Old Style" w:eastAsiaTheme="minorEastAsia" w:hAnsi="Bookman Old Style" w:cstheme="minorBidi"/>
          <w:noProof/>
          <w:sz w:val="22"/>
          <w:szCs w:val="22"/>
        </w:rPr>
      </w:pPr>
      <w:hyperlink w:anchor="_Toc97823250" w:history="1">
        <w:r w:rsidR="0066429B" w:rsidRPr="0066429B">
          <w:rPr>
            <w:rStyle w:val="Lienhypertexte"/>
            <w:rFonts w:ascii="Bookman Old Style" w:hAnsi="Bookman Old Style"/>
            <w:noProof/>
          </w:rPr>
          <w:t>Figure 37 : Niveau de satisfaction des membres de COGES GFS</w:t>
        </w:r>
        <w:r w:rsidR="0066429B" w:rsidRPr="0066429B">
          <w:rPr>
            <w:rFonts w:ascii="Bookman Old Style" w:hAnsi="Bookman Old Style"/>
            <w:noProof/>
            <w:webHidden/>
          </w:rPr>
          <w:tab/>
        </w:r>
        <w:r w:rsidR="0066429B" w:rsidRPr="0066429B">
          <w:rPr>
            <w:rFonts w:ascii="Bookman Old Style" w:hAnsi="Bookman Old Style"/>
            <w:noProof/>
            <w:webHidden/>
          </w:rPr>
          <w:fldChar w:fldCharType="begin"/>
        </w:r>
        <w:r w:rsidR="0066429B" w:rsidRPr="0066429B">
          <w:rPr>
            <w:rFonts w:ascii="Bookman Old Style" w:hAnsi="Bookman Old Style"/>
            <w:noProof/>
            <w:webHidden/>
          </w:rPr>
          <w:instrText xml:space="preserve"> PAGEREF _Toc97823250 \h </w:instrText>
        </w:r>
        <w:r w:rsidR="0066429B" w:rsidRPr="0066429B">
          <w:rPr>
            <w:rFonts w:ascii="Bookman Old Style" w:hAnsi="Bookman Old Style"/>
            <w:noProof/>
            <w:webHidden/>
          </w:rPr>
        </w:r>
        <w:r w:rsidR="0066429B" w:rsidRPr="0066429B">
          <w:rPr>
            <w:rFonts w:ascii="Bookman Old Style" w:hAnsi="Bookman Old Style"/>
            <w:noProof/>
            <w:webHidden/>
          </w:rPr>
          <w:fldChar w:fldCharType="separate"/>
        </w:r>
        <w:r w:rsidR="0066429B" w:rsidRPr="0066429B">
          <w:rPr>
            <w:rFonts w:ascii="Bookman Old Style" w:hAnsi="Bookman Old Style"/>
            <w:noProof/>
            <w:webHidden/>
          </w:rPr>
          <w:t>45</w:t>
        </w:r>
        <w:r w:rsidR="0066429B" w:rsidRPr="0066429B">
          <w:rPr>
            <w:rFonts w:ascii="Bookman Old Style" w:hAnsi="Bookman Old Style"/>
            <w:noProof/>
            <w:webHidden/>
          </w:rPr>
          <w:fldChar w:fldCharType="end"/>
        </w:r>
      </w:hyperlink>
    </w:p>
    <w:p w14:paraId="501985FB" w14:textId="57DD7CE2" w:rsidR="00610328" w:rsidRPr="0066429B" w:rsidRDefault="003D37B5" w:rsidP="0066429B">
      <w:pPr>
        <w:spacing w:line="276" w:lineRule="auto"/>
        <w:rPr>
          <w:rFonts w:ascii="Bookman Old Style" w:hAnsi="Bookman Old Style" w:cs="Arial"/>
        </w:rPr>
      </w:pPr>
      <w:r w:rsidRPr="0066429B">
        <w:rPr>
          <w:rFonts w:ascii="Bookman Old Style" w:hAnsi="Bookman Old Style" w:cs="Arial"/>
        </w:rPr>
        <w:fldChar w:fldCharType="end"/>
      </w:r>
    </w:p>
    <w:p w14:paraId="64C7BDE7" w14:textId="3BB48AE0" w:rsidR="00596BE7" w:rsidRPr="007739CB" w:rsidRDefault="00596BE7" w:rsidP="007739CB">
      <w:pPr>
        <w:spacing w:line="276" w:lineRule="auto"/>
        <w:outlineLvl w:val="0"/>
        <w:rPr>
          <w:rFonts w:ascii="Bookman Old Style" w:hAnsi="Bookman Old Style" w:cs="Arial"/>
          <w:b/>
        </w:rPr>
      </w:pPr>
      <w:bookmarkStart w:id="3" w:name="_Toc97822339"/>
      <w:r w:rsidRPr="007739CB">
        <w:rPr>
          <w:rFonts w:ascii="Bookman Old Style" w:hAnsi="Bookman Old Style" w:cs="Arial"/>
          <w:b/>
        </w:rPr>
        <w:lastRenderedPageBreak/>
        <w:t>RESUME</w:t>
      </w:r>
      <w:bookmarkEnd w:id="3"/>
    </w:p>
    <w:p w14:paraId="532F67A5" w14:textId="7B09F9FD" w:rsidR="00CA54A5" w:rsidRDefault="00166E5B" w:rsidP="00CA54A5">
      <w:pPr>
        <w:spacing w:before="240" w:line="276" w:lineRule="auto"/>
        <w:jc w:val="both"/>
        <w:rPr>
          <w:rFonts w:ascii="Bookman Old Style" w:hAnsi="Bookman Old Style"/>
        </w:rPr>
      </w:pPr>
      <w:r w:rsidRPr="00501350">
        <w:rPr>
          <w:rFonts w:ascii="Bookman Old Style" w:hAnsi="Bookman Old Style"/>
        </w:rPr>
        <w:t xml:space="preserve">Le </w:t>
      </w:r>
      <w:r>
        <w:rPr>
          <w:rFonts w:ascii="Bookman Old Style" w:hAnsi="Bookman Old Style"/>
        </w:rPr>
        <w:t xml:space="preserve">Grenier Féminin de Soudure </w:t>
      </w:r>
      <w:r w:rsidR="00781C86">
        <w:rPr>
          <w:rFonts w:ascii="Bookman Old Style" w:hAnsi="Bookman Old Style"/>
        </w:rPr>
        <w:t>(</w:t>
      </w:r>
      <w:r>
        <w:rPr>
          <w:rFonts w:ascii="Bookman Old Style" w:hAnsi="Bookman Old Style"/>
        </w:rPr>
        <w:t>GFS</w:t>
      </w:r>
      <w:r w:rsidR="00781C86">
        <w:rPr>
          <w:rFonts w:ascii="Bookman Old Style" w:hAnsi="Bookman Old Style"/>
        </w:rPr>
        <w:t>)</w:t>
      </w:r>
      <w:r>
        <w:rPr>
          <w:rFonts w:ascii="Bookman Old Style" w:hAnsi="Bookman Old Style"/>
        </w:rPr>
        <w:t xml:space="preserve"> est une activité d’appui et d’assistance aux ménages ruraux pour </w:t>
      </w:r>
      <w:r w:rsidR="00501350">
        <w:rPr>
          <w:rFonts w:ascii="Bookman Old Style" w:hAnsi="Bookman Old Style"/>
        </w:rPr>
        <w:t xml:space="preserve">atténuer les effets négatives et alléger les souffrances des populations rurales </w:t>
      </w:r>
      <w:r>
        <w:rPr>
          <w:rFonts w:ascii="Bookman Old Style" w:hAnsi="Bookman Old Style"/>
        </w:rPr>
        <w:t>à des périodes de soudure notamment entre Juin et septembre.</w:t>
      </w:r>
      <w:r w:rsidR="00501350">
        <w:rPr>
          <w:rFonts w:ascii="Bookman Old Style" w:hAnsi="Bookman Old Style"/>
        </w:rPr>
        <w:t xml:space="preserve"> </w:t>
      </w:r>
    </w:p>
    <w:p w14:paraId="4C69CEA5" w14:textId="48C8603C" w:rsidR="00501350" w:rsidRDefault="00501350" w:rsidP="00CA54A5">
      <w:pPr>
        <w:spacing w:before="240" w:line="276" w:lineRule="auto"/>
        <w:jc w:val="both"/>
        <w:rPr>
          <w:rFonts w:ascii="Bookman Old Style" w:hAnsi="Bookman Old Style"/>
        </w:rPr>
      </w:pPr>
      <w:r>
        <w:rPr>
          <w:rFonts w:ascii="Bookman Old Style" w:hAnsi="Bookman Old Style"/>
        </w:rPr>
        <w:t>Depuis 2016 le ProDAF a mis en place plusieurs GFS dans les régions de Tahoua, Maradi et Zinder. Ainsi, après plusieurs années d’implantation et de gestion de ces GFS, une étude d’évaluation a été initié</w:t>
      </w:r>
      <w:r w:rsidR="00781C86">
        <w:rPr>
          <w:rFonts w:ascii="Bookman Old Style" w:hAnsi="Bookman Old Style"/>
        </w:rPr>
        <w:t>e</w:t>
      </w:r>
      <w:r>
        <w:rPr>
          <w:rFonts w:ascii="Bookman Old Style" w:hAnsi="Bookman Old Style"/>
        </w:rPr>
        <w:t xml:space="preserve"> par la Cellule Nationale de Représentation et d’Assistance Technique CENRAT afin d’apprécier les résultats de cette activité dont les principaux résultats sont présentés dans ce document.</w:t>
      </w:r>
    </w:p>
    <w:p w14:paraId="7646334B" w14:textId="135DFF76" w:rsidR="006E51C5" w:rsidRDefault="00F1772C" w:rsidP="00F1772C">
      <w:pPr>
        <w:spacing w:before="240" w:line="276" w:lineRule="auto"/>
        <w:jc w:val="both"/>
        <w:rPr>
          <w:rFonts w:ascii="Bookman Old Style" w:hAnsi="Bookman Old Style"/>
        </w:rPr>
      </w:pPr>
      <w:r>
        <w:rPr>
          <w:rFonts w:ascii="Bookman Old Style" w:hAnsi="Bookman Old Style"/>
        </w:rPr>
        <w:t>Cette étude a touché 24 villages à raison de 8 villages GFS par région. Les données ont été collectées auprès de 24 COGES GFS, 24</w:t>
      </w:r>
      <w:r w:rsidR="00C71730">
        <w:rPr>
          <w:rFonts w:ascii="Bookman Old Style" w:hAnsi="Bookman Old Style"/>
        </w:rPr>
        <w:t>4</w:t>
      </w:r>
      <w:r>
        <w:rPr>
          <w:rFonts w:ascii="Bookman Old Style" w:hAnsi="Bookman Old Style"/>
        </w:rPr>
        <w:t xml:space="preserve"> des femmes membres de GFS ainsi que des hommes en focus group dans chaque village.</w:t>
      </w:r>
    </w:p>
    <w:p w14:paraId="6531BF87" w14:textId="67FA0557" w:rsidR="00BB2B30" w:rsidRDefault="006E51C5" w:rsidP="00F1772C">
      <w:pPr>
        <w:spacing w:before="240" w:line="276" w:lineRule="auto"/>
        <w:jc w:val="both"/>
        <w:rPr>
          <w:rFonts w:ascii="Bookman Old Style" w:hAnsi="Bookman Old Style"/>
        </w:rPr>
      </w:pPr>
      <w:r>
        <w:rPr>
          <w:rFonts w:ascii="Bookman Old Style" w:hAnsi="Bookman Old Style"/>
        </w:rPr>
        <w:t>Il ressort des résultats de l’étude que :</w:t>
      </w:r>
    </w:p>
    <w:p w14:paraId="7DABC048" w14:textId="201F5602" w:rsidR="00247FC3" w:rsidRPr="00B1073F" w:rsidRDefault="00B1073F" w:rsidP="00F1772C">
      <w:pPr>
        <w:spacing w:before="240" w:line="276" w:lineRule="auto"/>
        <w:jc w:val="both"/>
        <w:rPr>
          <w:rFonts w:ascii="Bookman Old Style" w:hAnsi="Bookman Old Style"/>
          <w:b/>
          <w:bCs/>
        </w:rPr>
      </w:pPr>
      <w:r w:rsidRPr="00B1073F">
        <w:rPr>
          <w:rFonts w:ascii="Bookman Old Style" w:hAnsi="Bookman Old Style"/>
          <w:b/>
          <w:bCs/>
        </w:rPr>
        <w:t>Quelques informations sur les bénéficiaires</w:t>
      </w:r>
    </w:p>
    <w:p w14:paraId="77558C29" w14:textId="3E53DF51" w:rsidR="00B1073F" w:rsidRPr="00B1073F" w:rsidRDefault="00B1073F" w:rsidP="00B1073F">
      <w:pPr>
        <w:pStyle w:val="Paragraphedeliste"/>
        <w:numPr>
          <w:ilvl w:val="0"/>
          <w:numId w:val="47"/>
        </w:numPr>
        <w:spacing w:before="240" w:line="276" w:lineRule="auto"/>
        <w:jc w:val="both"/>
        <w:rPr>
          <w:rFonts w:ascii="Bookman Old Style" w:hAnsi="Bookman Old Style"/>
        </w:rPr>
      </w:pPr>
      <w:r w:rsidRPr="00B1073F">
        <w:rPr>
          <w:rFonts w:ascii="Bookman Old Style" w:hAnsi="Bookman Old Style"/>
        </w:rPr>
        <w:t>147 groupements MMD ont été recensés par les 24 villages d’investigation pour 3 669 membres dont 45% à Maradi, 31% à Zinder et 24% à Tahoua.</w:t>
      </w:r>
      <w:r w:rsidRPr="00B1073F">
        <w:t xml:space="preserve"> </w:t>
      </w:r>
      <w:r w:rsidRPr="00B1073F">
        <w:rPr>
          <w:rFonts w:ascii="Bookman Old Style" w:hAnsi="Bookman Old Style"/>
        </w:rPr>
        <w:t>La moyenne globale des membres par GFS est de 153 personnes. Toutefois, on note des grandes disparités entre les régions avec par exemple 205 membres par GFS à Maradi contre 110 à Tahoua.</w:t>
      </w:r>
    </w:p>
    <w:p w14:paraId="27EF0452" w14:textId="77777777" w:rsidR="00B1073F" w:rsidRPr="00B1073F" w:rsidRDefault="00B1073F" w:rsidP="00B1073F">
      <w:pPr>
        <w:pStyle w:val="Paragraphedeliste"/>
        <w:numPr>
          <w:ilvl w:val="0"/>
          <w:numId w:val="47"/>
        </w:numPr>
        <w:spacing w:before="240" w:line="276" w:lineRule="auto"/>
        <w:jc w:val="both"/>
        <w:rPr>
          <w:rFonts w:ascii="Bookman Old Style" w:hAnsi="Bookman Old Style"/>
        </w:rPr>
      </w:pPr>
      <w:r w:rsidRPr="00B1073F">
        <w:rPr>
          <w:rFonts w:ascii="Bookman Old Style" w:hAnsi="Bookman Old Style"/>
        </w:rPr>
        <w:t>La taille moyenne des ménages est de 12 personnes, avec des disparités entre les régions notamment16 personnes/ménage à Maradi contre 10 à Zinder. La proportion des enfants de moins de 5 ans est de 25% en moyenne. Les femmes prennent les vivres avec le consentement de leurs maris/chefs de ménage. Seul 4% des groupes d’hommes déclarent que ce n’est pas toujours le cas, c’est-à-dire que parfois les femmes prennent sans l’accord de leurs époux.</w:t>
      </w:r>
    </w:p>
    <w:p w14:paraId="396DE682" w14:textId="14C0278E" w:rsidR="00247FC3" w:rsidRPr="00B1073F" w:rsidRDefault="00247FC3" w:rsidP="00F1772C">
      <w:pPr>
        <w:spacing w:before="240" w:line="276" w:lineRule="auto"/>
        <w:jc w:val="both"/>
        <w:rPr>
          <w:rFonts w:ascii="Bookman Old Style" w:hAnsi="Bookman Old Style"/>
          <w:b/>
          <w:bCs/>
        </w:rPr>
      </w:pPr>
      <w:r w:rsidRPr="00B1073F">
        <w:rPr>
          <w:rFonts w:ascii="Bookman Old Style" w:hAnsi="Bookman Old Style"/>
          <w:b/>
          <w:bCs/>
        </w:rPr>
        <w:t>Gestion des Stock GFS</w:t>
      </w:r>
    </w:p>
    <w:p w14:paraId="604BD221" w14:textId="42F6834F" w:rsidR="006E51C5" w:rsidRDefault="006E51C5" w:rsidP="006E51C5">
      <w:pPr>
        <w:pStyle w:val="Paragraphedeliste"/>
        <w:numPr>
          <w:ilvl w:val="0"/>
          <w:numId w:val="47"/>
        </w:numPr>
        <w:spacing w:before="240" w:line="276" w:lineRule="auto"/>
        <w:jc w:val="both"/>
        <w:rPr>
          <w:rFonts w:ascii="Bookman Old Style" w:hAnsi="Bookman Old Style"/>
        </w:rPr>
      </w:pPr>
      <w:r w:rsidRPr="00425E0E">
        <w:rPr>
          <w:rFonts w:ascii="Bookman Old Style" w:hAnsi="Bookman Old Style"/>
        </w:rPr>
        <w:t>10 tonnes de mil sont initialement mis à la disposition des femmes organisées en réseau MMD dans chacun de 24 villages</w:t>
      </w:r>
      <w:r w:rsidR="00BB2B30">
        <w:rPr>
          <w:rFonts w:ascii="Bookman Old Style" w:hAnsi="Bookman Old Style"/>
        </w:rPr>
        <w:t xml:space="preserve"> soit 240</w:t>
      </w:r>
      <w:r w:rsidR="00C85148">
        <w:rPr>
          <w:rFonts w:ascii="Bookman Old Style" w:hAnsi="Bookman Old Style"/>
        </w:rPr>
        <w:t xml:space="preserve"> tonnes</w:t>
      </w:r>
      <w:r w:rsidRPr="00C85148">
        <w:rPr>
          <w:rFonts w:ascii="Bookman Old Style" w:hAnsi="Bookman Old Style"/>
        </w:rPr>
        <w:t>. A Tahoua une 2è</w:t>
      </w:r>
      <w:r w:rsidR="00C45B00">
        <w:rPr>
          <w:rFonts w:ascii="Bookman Old Style" w:hAnsi="Bookman Old Style"/>
        </w:rPr>
        <w:t>me</w:t>
      </w:r>
      <w:r w:rsidRPr="00C85148">
        <w:rPr>
          <w:rFonts w:ascii="Bookman Old Style" w:hAnsi="Bookman Old Style"/>
        </w:rPr>
        <w:t xml:space="preserve"> dotation a été faite dans le cadre du plan covid-19, ce qui a fortement renforcé le stock des villages GFS de la région.</w:t>
      </w:r>
      <w:r w:rsidR="00C85148" w:rsidRPr="00C85148">
        <w:t xml:space="preserve"> </w:t>
      </w:r>
      <w:r w:rsidR="00C85148" w:rsidRPr="00C85148">
        <w:rPr>
          <w:rFonts w:ascii="Bookman Old Style" w:hAnsi="Bookman Old Style"/>
        </w:rPr>
        <w:t xml:space="preserve">Un sac contient en moyenne 35 </w:t>
      </w:r>
      <w:proofErr w:type="spellStart"/>
      <w:r w:rsidR="00C85148" w:rsidRPr="00C85148">
        <w:rPr>
          <w:rFonts w:ascii="Bookman Old Style" w:hAnsi="Bookman Old Style"/>
        </w:rPr>
        <w:t>tias</w:t>
      </w:r>
      <w:proofErr w:type="spellEnd"/>
      <w:r w:rsidR="00C85148" w:rsidRPr="00C85148">
        <w:rPr>
          <w:rFonts w:ascii="Bookman Old Style" w:hAnsi="Bookman Old Style"/>
        </w:rPr>
        <w:t xml:space="preserve"> (équivalent de 2.5kg).</w:t>
      </w:r>
      <w:r w:rsidR="00C85148">
        <w:rPr>
          <w:rFonts w:ascii="Bookman Old Style" w:hAnsi="Bookman Old Style"/>
        </w:rPr>
        <w:t xml:space="preserve"> </w:t>
      </w:r>
      <w:r w:rsidR="00CA54A5">
        <w:rPr>
          <w:rFonts w:ascii="Bookman Old Style" w:hAnsi="Bookman Old Style"/>
        </w:rPr>
        <w:t>Le</w:t>
      </w:r>
      <w:r w:rsidR="00C85148">
        <w:rPr>
          <w:rFonts w:ascii="Bookman Old Style" w:hAnsi="Bookman Old Style"/>
        </w:rPr>
        <w:t xml:space="preserve"> taux moyen d’impureté est de </w:t>
      </w:r>
      <w:r w:rsidR="00C85148" w:rsidRPr="00C85148">
        <w:rPr>
          <w:rFonts w:ascii="Bookman Old Style" w:hAnsi="Bookman Old Style"/>
        </w:rPr>
        <w:t>1%.</w:t>
      </w:r>
    </w:p>
    <w:p w14:paraId="58B9BD03" w14:textId="7CFB7366" w:rsidR="002F7070" w:rsidRDefault="002F7070" w:rsidP="002F7070">
      <w:pPr>
        <w:pStyle w:val="Paragraphedeliste"/>
        <w:numPr>
          <w:ilvl w:val="0"/>
          <w:numId w:val="47"/>
        </w:numPr>
        <w:spacing w:before="240" w:line="276" w:lineRule="auto"/>
        <w:jc w:val="both"/>
        <w:rPr>
          <w:rFonts w:ascii="Bookman Old Style" w:hAnsi="Bookman Old Style"/>
        </w:rPr>
      </w:pPr>
      <w:r w:rsidRPr="002F7070">
        <w:rPr>
          <w:rFonts w:ascii="Bookman Old Style" w:hAnsi="Bookman Old Style"/>
        </w:rPr>
        <w:lastRenderedPageBreak/>
        <w:t xml:space="preserve">Globalement deux sessions de distribution ont eu lieu en 2020 dans les villages enquêtés. Au total 3 578 sacs </w:t>
      </w:r>
      <w:r w:rsidR="00C45B00">
        <w:rPr>
          <w:rFonts w:ascii="Bookman Old Style" w:hAnsi="Bookman Old Style"/>
        </w:rPr>
        <w:t xml:space="preserve">de 100 </w:t>
      </w:r>
      <w:proofErr w:type="gramStart"/>
      <w:r w:rsidR="00C45B00">
        <w:rPr>
          <w:rFonts w:ascii="Bookman Old Style" w:hAnsi="Bookman Old Style"/>
        </w:rPr>
        <w:t>kg</w:t>
      </w:r>
      <w:r w:rsidRPr="002F7070">
        <w:rPr>
          <w:rFonts w:ascii="Bookman Old Style" w:hAnsi="Bookman Old Style"/>
        </w:rPr>
        <w:t>(</w:t>
      </w:r>
      <w:proofErr w:type="gramEnd"/>
      <w:r w:rsidRPr="002F7070">
        <w:rPr>
          <w:rFonts w:ascii="Bookman Old Style" w:hAnsi="Bookman Old Style"/>
        </w:rPr>
        <w:t xml:space="preserve">113 565 </w:t>
      </w:r>
      <w:proofErr w:type="spellStart"/>
      <w:r w:rsidRPr="002F7070">
        <w:rPr>
          <w:rFonts w:ascii="Bookman Old Style" w:hAnsi="Bookman Old Style"/>
        </w:rPr>
        <w:t>tias</w:t>
      </w:r>
      <w:proofErr w:type="spellEnd"/>
      <w:r w:rsidRPr="002F7070">
        <w:rPr>
          <w:rFonts w:ascii="Bookman Old Style" w:hAnsi="Bookman Old Style"/>
        </w:rPr>
        <w:t xml:space="preserve">) ont été cédés aux membres de GFS dans les 24 villages GFS </w:t>
      </w:r>
      <w:r w:rsidR="00A773E6">
        <w:rPr>
          <w:rFonts w:ascii="Bookman Old Style" w:hAnsi="Bookman Old Style"/>
        </w:rPr>
        <w:t>objets d’investigation dans les</w:t>
      </w:r>
      <w:r w:rsidRPr="002F7070">
        <w:rPr>
          <w:rFonts w:ascii="Bookman Old Style" w:hAnsi="Bookman Old Style"/>
        </w:rPr>
        <w:t xml:space="preserve"> régions de Tahoua, Maradi et Zinder. </w:t>
      </w:r>
    </w:p>
    <w:p w14:paraId="3249E066" w14:textId="1B846D92" w:rsidR="002F7070" w:rsidRPr="00A773E6" w:rsidRDefault="002F7070" w:rsidP="00A773E6">
      <w:pPr>
        <w:pStyle w:val="Paragraphedeliste"/>
        <w:numPr>
          <w:ilvl w:val="0"/>
          <w:numId w:val="47"/>
        </w:numPr>
        <w:spacing w:before="240" w:line="276" w:lineRule="auto"/>
        <w:jc w:val="both"/>
        <w:rPr>
          <w:rFonts w:ascii="Bookman Old Style" w:hAnsi="Bookman Old Style"/>
        </w:rPr>
      </w:pPr>
      <w:r w:rsidRPr="00A773E6">
        <w:rPr>
          <w:rFonts w:ascii="Bookman Old Style" w:hAnsi="Bookman Old Style"/>
        </w:rPr>
        <w:t xml:space="preserve">La période de labour est la plus utilisée pour la </w:t>
      </w:r>
      <w:r w:rsidR="00425E0E">
        <w:rPr>
          <w:rFonts w:ascii="Bookman Old Style" w:hAnsi="Bookman Old Style"/>
        </w:rPr>
        <w:t>1ère</w:t>
      </w:r>
      <w:r w:rsidRPr="00A773E6">
        <w:rPr>
          <w:rFonts w:ascii="Bookman Old Style" w:hAnsi="Bookman Old Style"/>
        </w:rPr>
        <w:t xml:space="preserve"> distribution des céréales de GFS avec 71% de réponses suivi de la période de semis (21%)</w:t>
      </w:r>
      <w:r w:rsidR="00425E0E">
        <w:rPr>
          <w:rFonts w:ascii="Bookman Old Style" w:hAnsi="Bookman Old Style"/>
        </w:rPr>
        <w:t>.</w:t>
      </w:r>
      <w:r w:rsidRPr="00A773E6">
        <w:rPr>
          <w:rFonts w:ascii="Bookman Old Style" w:hAnsi="Bookman Old Style"/>
        </w:rPr>
        <w:t xml:space="preserve"> Quant à la </w:t>
      </w:r>
      <w:r w:rsidR="00425E0E">
        <w:rPr>
          <w:rFonts w:ascii="Bookman Old Style" w:hAnsi="Bookman Old Style"/>
        </w:rPr>
        <w:t>2è</w:t>
      </w:r>
      <w:r w:rsidRPr="00A773E6">
        <w:rPr>
          <w:rFonts w:ascii="Bookman Old Style" w:hAnsi="Bookman Old Style"/>
        </w:rPr>
        <w:t xml:space="preserve"> cession des vivres, elle a lieu en majorité au moment de sarclage (75%) des réponses. </w:t>
      </w:r>
    </w:p>
    <w:p w14:paraId="1A6B86EB" w14:textId="289141CE" w:rsidR="002F7070" w:rsidRDefault="00594633" w:rsidP="002F7070">
      <w:pPr>
        <w:pStyle w:val="Paragraphedeliste"/>
        <w:numPr>
          <w:ilvl w:val="0"/>
          <w:numId w:val="47"/>
        </w:numPr>
        <w:spacing w:before="240" w:line="276" w:lineRule="auto"/>
        <w:jc w:val="both"/>
        <w:rPr>
          <w:rFonts w:ascii="Bookman Old Style" w:hAnsi="Bookman Old Style"/>
        </w:rPr>
      </w:pPr>
      <w:r w:rsidRPr="00594633">
        <w:rPr>
          <w:rFonts w:ascii="Bookman Old Style" w:hAnsi="Bookman Old Style"/>
        </w:rPr>
        <w:t>Trois principa</w:t>
      </w:r>
      <w:r w:rsidR="00C45B00">
        <w:rPr>
          <w:rFonts w:ascii="Bookman Old Style" w:hAnsi="Bookman Old Style"/>
        </w:rPr>
        <w:t xml:space="preserve">ux de remboursement </w:t>
      </w:r>
      <w:r w:rsidR="00CB0D9D">
        <w:rPr>
          <w:rFonts w:ascii="Bookman Old Style" w:hAnsi="Bookman Old Style"/>
        </w:rPr>
        <w:t xml:space="preserve">sont utilisés. Il s’agit de </w:t>
      </w:r>
      <w:r w:rsidR="00425E0E" w:rsidRPr="00594633">
        <w:rPr>
          <w:rFonts w:ascii="Bookman Old Style" w:hAnsi="Bookman Old Style"/>
        </w:rPr>
        <w:t xml:space="preserve">la production issue de l’exploitation agricole familiale </w:t>
      </w:r>
      <w:r w:rsidR="00425E0E">
        <w:rPr>
          <w:rFonts w:ascii="Bookman Old Style" w:hAnsi="Bookman Old Style"/>
        </w:rPr>
        <w:t xml:space="preserve">est la </w:t>
      </w:r>
      <w:r w:rsidRPr="00594633">
        <w:rPr>
          <w:rFonts w:ascii="Bookman Old Style" w:hAnsi="Bookman Old Style"/>
        </w:rPr>
        <w:t>source</w:t>
      </w:r>
      <w:r w:rsidR="00425E0E">
        <w:rPr>
          <w:rFonts w:ascii="Bookman Old Style" w:hAnsi="Bookman Old Style"/>
        </w:rPr>
        <w:t xml:space="preserve"> la plus </w:t>
      </w:r>
      <w:r w:rsidRPr="00594633">
        <w:rPr>
          <w:rFonts w:ascii="Bookman Old Style" w:hAnsi="Bookman Old Style"/>
        </w:rPr>
        <w:t xml:space="preserve">utilisées par les bénéficiaires pour le remboursement des céréales avec bonification (73%), </w:t>
      </w:r>
      <w:r w:rsidR="00425E0E">
        <w:rPr>
          <w:rFonts w:ascii="Bookman Old Style" w:hAnsi="Bookman Old Style"/>
        </w:rPr>
        <w:t>de</w:t>
      </w:r>
      <w:r w:rsidRPr="00594633">
        <w:rPr>
          <w:rFonts w:ascii="Bookman Old Style" w:hAnsi="Bookman Old Style"/>
        </w:rPr>
        <w:t xml:space="preserve"> marché (18%).  </w:t>
      </w:r>
    </w:p>
    <w:p w14:paraId="32611BD4" w14:textId="67965034" w:rsidR="00594633" w:rsidRDefault="00594633" w:rsidP="002F7070">
      <w:pPr>
        <w:pStyle w:val="Paragraphedeliste"/>
        <w:numPr>
          <w:ilvl w:val="0"/>
          <w:numId w:val="47"/>
        </w:numPr>
        <w:spacing w:before="240" w:line="276" w:lineRule="auto"/>
        <w:jc w:val="both"/>
        <w:rPr>
          <w:rFonts w:ascii="Bookman Old Style" w:hAnsi="Bookman Old Style"/>
        </w:rPr>
      </w:pPr>
      <w:r w:rsidRPr="00594633">
        <w:rPr>
          <w:rFonts w:ascii="Bookman Old Style" w:hAnsi="Bookman Old Style"/>
        </w:rPr>
        <w:t xml:space="preserve">Sur un total de 8 574 </w:t>
      </w:r>
      <w:proofErr w:type="spellStart"/>
      <w:r w:rsidRPr="00594633">
        <w:rPr>
          <w:rFonts w:ascii="Bookman Old Style" w:hAnsi="Bookman Old Style"/>
        </w:rPr>
        <w:t>tias</w:t>
      </w:r>
      <w:proofErr w:type="spellEnd"/>
      <w:r w:rsidRPr="00594633">
        <w:rPr>
          <w:rFonts w:ascii="Bookman Old Style" w:hAnsi="Bookman Old Style"/>
        </w:rPr>
        <w:t xml:space="preserve"> perçues par les bénéficiaires</w:t>
      </w:r>
      <w:r w:rsidR="00CA54A5">
        <w:rPr>
          <w:rFonts w:ascii="Bookman Old Style" w:hAnsi="Bookman Old Style"/>
        </w:rPr>
        <w:t xml:space="preserve"> enquêtées</w:t>
      </w:r>
      <w:r w:rsidRPr="00594633">
        <w:rPr>
          <w:rFonts w:ascii="Bookman Old Style" w:hAnsi="Bookman Old Style"/>
        </w:rPr>
        <w:t xml:space="preserve">, 7 454 </w:t>
      </w:r>
      <w:proofErr w:type="spellStart"/>
      <w:r w:rsidRPr="00594633">
        <w:rPr>
          <w:rFonts w:ascii="Bookman Old Style" w:hAnsi="Bookman Old Style"/>
        </w:rPr>
        <w:t>tias</w:t>
      </w:r>
      <w:proofErr w:type="spellEnd"/>
      <w:r w:rsidRPr="00594633">
        <w:rPr>
          <w:rFonts w:ascii="Bookman Old Style" w:hAnsi="Bookman Old Style"/>
        </w:rPr>
        <w:t xml:space="preserve"> ont été remboursées soit un taux </w:t>
      </w:r>
      <w:r w:rsidR="00CB0D9D" w:rsidRPr="00594633">
        <w:rPr>
          <w:rFonts w:ascii="Bookman Old Style" w:hAnsi="Bookman Old Style"/>
        </w:rPr>
        <w:t xml:space="preserve">de </w:t>
      </w:r>
      <w:r w:rsidR="00CB0D9D">
        <w:rPr>
          <w:rFonts w:ascii="Bookman Old Style" w:hAnsi="Bookman Old Style"/>
        </w:rPr>
        <w:t xml:space="preserve">remboursement </w:t>
      </w:r>
      <w:r w:rsidRPr="00594633">
        <w:rPr>
          <w:rFonts w:ascii="Bookman Old Style" w:hAnsi="Bookman Old Style"/>
        </w:rPr>
        <w:t xml:space="preserve">87%.  </w:t>
      </w:r>
    </w:p>
    <w:p w14:paraId="41CF796A" w14:textId="6D41F40C" w:rsidR="00DE5FDB" w:rsidRPr="00874602" w:rsidRDefault="00DE5FDB" w:rsidP="00874602">
      <w:pPr>
        <w:spacing w:before="240" w:line="276" w:lineRule="auto"/>
        <w:ind w:left="360"/>
        <w:jc w:val="both"/>
        <w:rPr>
          <w:rFonts w:ascii="Bookman Old Style" w:hAnsi="Bookman Old Style"/>
          <w:b/>
          <w:bCs/>
        </w:rPr>
      </w:pPr>
      <w:r w:rsidRPr="00874602">
        <w:rPr>
          <w:rFonts w:ascii="Bookman Old Style" w:hAnsi="Bookman Old Style"/>
          <w:b/>
          <w:bCs/>
        </w:rPr>
        <w:t>Réduction période de soudure et couverture alimentaire</w:t>
      </w:r>
    </w:p>
    <w:p w14:paraId="5FB0AA94" w14:textId="57CE0B7F" w:rsidR="00594633" w:rsidRDefault="00594633" w:rsidP="002F7070">
      <w:pPr>
        <w:pStyle w:val="Paragraphedeliste"/>
        <w:numPr>
          <w:ilvl w:val="0"/>
          <w:numId w:val="47"/>
        </w:numPr>
        <w:spacing w:before="240" w:line="276" w:lineRule="auto"/>
        <w:jc w:val="both"/>
        <w:rPr>
          <w:rFonts w:ascii="Bookman Old Style" w:hAnsi="Bookman Old Style"/>
        </w:rPr>
      </w:pPr>
      <w:r w:rsidRPr="00594633">
        <w:rPr>
          <w:rFonts w:ascii="Bookman Old Style" w:hAnsi="Bookman Old Style"/>
        </w:rPr>
        <w:t xml:space="preserve">La durée d’autoconsommation des vivres reçus de GFS </w:t>
      </w:r>
      <w:r w:rsidR="00B01866">
        <w:rPr>
          <w:rFonts w:ascii="Bookman Old Style" w:hAnsi="Bookman Old Style"/>
        </w:rPr>
        <w:t>pour la 1</w:t>
      </w:r>
      <w:r w:rsidR="00B01866" w:rsidRPr="00CA54A5">
        <w:rPr>
          <w:rFonts w:ascii="Bookman Old Style" w:hAnsi="Bookman Old Style"/>
          <w:vertAlign w:val="superscript"/>
        </w:rPr>
        <w:t>ère</w:t>
      </w:r>
      <w:r w:rsidR="00B01866">
        <w:rPr>
          <w:rFonts w:ascii="Bookman Old Style" w:hAnsi="Bookman Old Style"/>
        </w:rPr>
        <w:t xml:space="preserve"> </w:t>
      </w:r>
      <w:r w:rsidR="00CA54A5">
        <w:rPr>
          <w:rFonts w:ascii="Bookman Old Style" w:hAnsi="Bookman Old Style"/>
        </w:rPr>
        <w:t>distribution</w:t>
      </w:r>
      <w:r w:rsidR="00B01866">
        <w:rPr>
          <w:rFonts w:ascii="Bookman Old Style" w:hAnsi="Bookman Old Style"/>
        </w:rPr>
        <w:t xml:space="preserve"> </w:t>
      </w:r>
      <w:r w:rsidRPr="00594633">
        <w:rPr>
          <w:rFonts w:ascii="Bookman Old Style" w:hAnsi="Bookman Old Style"/>
        </w:rPr>
        <w:t>varie d’une (1) semaine à plus d’un (1) mois. De façon globale, on relève que 37% des répondants ont déclaré une autoconsommation de 2 semaines. Cette catégorie est suivie de celle déclarant 1 mois d’autoconsommation (21%). Seuls 5% ont une autoconsommation de plus de 1 mois.</w:t>
      </w:r>
    </w:p>
    <w:p w14:paraId="6554CB02" w14:textId="2E94B25A" w:rsidR="00594633" w:rsidRDefault="00594633" w:rsidP="002F7070">
      <w:pPr>
        <w:pStyle w:val="Paragraphedeliste"/>
        <w:numPr>
          <w:ilvl w:val="0"/>
          <w:numId w:val="47"/>
        </w:numPr>
        <w:spacing w:before="240" w:line="276" w:lineRule="auto"/>
        <w:jc w:val="both"/>
        <w:rPr>
          <w:rFonts w:ascii="Bookman Old Style" w:hAnsi="Bookman Old Style"/>
        </w:rPr>
      </w:pPr>
      <w:r w:rsidRPr="00594633">
        <w:rPr>
          <w:rFonts w:ascii="Bookman Old Style" w:hAnsi="Bookman Old Style"/>
        </w:rPr>
        <w:t>A la 2è cession des vivres, la majorité des bénéficiaires a consommé son stock entre la première semaine (39%) et la deuxième semaine (31%).</w:t>
      </w:r>
    </w:p>
    <w:p w14:paraId="198AF1DA" w14:textId="6AE6377B" w:rsidR="00704D6F" w:rsidRDefault="00704D6F" w:rsidP="002F7070">
      <w:pPr>
        <w:pStyle w:val="Paragraphedeliste"/>
        <w:numPr>
          <w:ilvl w:val="0"/>
          <w:numId w:val="47"/>
        </w:numPr>
        <w:spacing w:before="240" w:line="276" w:lineRule="auto"/>
        <w:jc w:val="both"/>
        <w:rPr>
          <w:rFonts w:ascii="Bookman Old Style" w:hAnsi="Bookman Old Style"/>
        </w:rPr>
      </w:pPr>
      <w:r>
        <w:rPr>
          <w:rFonts w:ascii="Bookman Old Style" w:hAnsi="Bookman Old Style"/>
        </w:rPr>
        <w:t>Les bénéficiaires</w:t>
      </w:r>
      <w:r w:rsidR="003C2818">
        <w:rPr>
          <w:rFonts w:ascii="Bookman Old Style" w:hAnsi="Bookman Old Style"/>
        </w:rPr>
        <w:t xml:space="preserve"> ont partout affirmé la contribution des GFS à la réduction de la période de soudure avec 41% à Tahoua contre 33% et 26% respectivement à Maradi et Zinder.</w:t>
      </w:r>
      <w:r>
        <w:rPr>
          <w:rFonts w:ascii="Bookman Old Style" w:hAnsi="Bookman Old Style"/>
        </w:rPr>
        <w:t xml:space="preserve"> </w:t>
      </w:r>
    </w:p>
    <w:p w14:paraId="797AE3C6" w14:textId="1A20FAA3" w:rsidR="008244C7" w:rsidRPr="00874602" w:rsidRDefault="008244C7" w:rsidP="00874602">
      <w:pPr>
        <w:spacing w:before="240" w:line="276" w:lineRule="auto"/>
        <w:rPr>
          <w:rFonts w:ascii="Bookman Old Style" w:hAnsi="Bookman Old Style"/>
          <w:b/>
          <w:bCs/>
        </w:rPr>
      </w:pPr>
      <w:r w:rsidRPr="00874602">
        <w:rPr>
          <w:rFonts w:ascii="Bookman Old Style" w:hAnsi="Bookman Old Style"/>
          <w:b/>
          <w:bCs/>
        </w:rPr>
        <w:t>Recours à la main d’œuvre agricole</w:t>
      </w:r>
    </w:p>
    <w:p w14:paraId="227E9748" w14:textId="799245E8" w:rsidR="00594633" w:rsidRDefault="00594633" w:rsidP="00B01866">
      <w:pPr>
        <w:pStyle w:val="Paragraphedeliste"/>
        <w:numPr>
          <w:ilvl w:val="0"/>
          <w:numId w:val="47"/>
        </w:numPr>
        <w:spacing w:before="240" w:line="276" w:lineRule="auto"/>
        <w:jc w:val="both"/>
        <w:rPr>
          <w:rFonts w:ascii="Bookman Old Style" w:hAnsi="Bookman Old Style"/>
        </w:rPr>
      </w:pPr>
      <w:r w:rsidRPr="00594633">
        <w:rPr>
          <w:rFonts w:ascii="Bookman Old Style" w:hAnsi="Bookman Old Style"/>
        </w:rPr>
        <w:t>Globalement 75% des bras valide</w:t>
      </w:r>
      <w:r w:rsidR="00374A24">
        <w:rPr>
          <w:rFonts w:ascii="Bookman Old Style" w:hAnsi="Bookman Old Style"/>
        </w:rPr>
        <w:t>s</w:t>
      </w:r>
      <w:r w:rsidRPr="00594633">
        <w:rPr>
          <w:rFonts w:ascii="Bookman Old Style" w:hAnsi="Bookman Old Style"/>
        </w:rPr>
        <w:t xml:space="preserve"> des ménages ruraux enquêtés sont concernés </w:t>
      </w:r>
      <w:r w:rsidR="00B01866" w:rsidRPr="00594633">
        <w:rPr>
          <w:rFonts w:ascii="Bookman Old Style" w:hAnsi="Bookman Old Style"/>
        </w:rPr>
        <w:t xml:space="preserve">par cette main d’œuvre agricole </w:t>
      </w:r>
      <w:r w:rsidRPr="00594633">
        <w:rPr>
          <w:rFonts w:ascii="Bookman Old Style" w:hAnsi="Bookman Old Style"/>
        </w:rPr>
        <w:t>avant la mise en place des GFS.</w:t>
      </w:r>
    </w:p>
    <w:p w14:paraId="2ACE9A61" w14:textId="2B3273A2" w:rsidR="006576E5" w:rsidRDefault="006576E5" w:rsidP="006576E5">
      <w:pPr>
        <w:pStyle w:val="Paragraphedeliste"/>
        <w:numPr>
          <w:ilvl w:val="0"/>
          <w:numId w:val="47"/>
        </w:numPr>
        <w:spacing w:before="240" w:line="276" w:lineRule="auto"/>
        <w:jc w:val="both"/>
        <w:rPr>
          <w:rFonts w:ascii="Bookman Old Style" w:hAnsi="Bookman Old Style"/>
        </w:rPr>
      </w:pPr>
      <w:r w:rsidRPr="006576E5">
        <w:rPr>
          <w:rFonts w:ascii="Bookman Old Style" w:hAnsi="Bookman Old Style"/>
        </w:rPr>
        <w:t>Malgré que les ménages continuent à faire recours à la vente de main d’œuvre agricole</w:t>
      </w:r>
      <w:r>
        <w:rPr>
          <w:rFonts w:ascii="Bookman Old Style" w:hAnsi="Bookman Old Style"/>
        </w:rPr>
        <w:t xml:space="preserve"> (348 actifs conte 617 avant GFS soit une réduction de 44%)</w:t>
      </w:r>
      <w:r w:rsidRPr="006576E5">
        <w:rPr>
          <w:rFonts w:ascii="Bookman Old Style" w:hAnsi="Bookman Old Style"/>
        </w:rPr>
        <w:t xml:space="preserve">, on note une forte avancée dans la réduction de cette pratique qui est synonyme de plus de consécration de temps de travail à l’exploitation agricole familiale. </w:t>
      </w:r>
    </w:p>
    <w:p w14:paraId="5F5551E5" w14:textId="2D6C820A" w:rsidR="006576E5" w:rsidRDefault="006576E5" w:rsidP="006576E5">
      <w:pPr>
        <w:pStyle w:val="Paragraphedeliste"/>
        <w:numPr>
          <w:ilvl w:val="0"/>
          <w:numId w:val="47"/>
        </w:numPr>
        <w:spacing w:before="240" w:line="276" w:lineRule="auto"/>
        <w:jc w:val="both"/>
        <w:rPr>
          <w:rFonts w:ascii="Bookman Old Style" w:hAnsi="Bookman Old Style"/>
        </w:rPr>
      </w:pPr>
      <w:r w:rsidRPr="006576E5">
        <w:rPr>
          <w:rFonts w:ascii="Bookman Old Style" w:hAnsi="Bookman Old Style"/>
        </w:rPr>
        <w:lastRenderedPageBreak/>
        <w:t>Contrairement au recours à la main d’œuvre agricole pour subvenir aux besoins de ménages afin d’exploiter les champs qui a connu une réduction, le temps ou la durée consacrée cette main d’œuvre a, quant à elle connu une hausse de façon globale</w:t>
      </w:r>
      <w:r w:rsidR="008244C7">
        <w:rPr>
          <w:rFonts w:ascii="Bookman Old Style" w:hAnsi="Bookman Old Style"/>
        </w:rPr>
        <w:t xml:space="preserve"> avec en moyenne 2 jours </w:t>
      </w:r>
      <w:r w:rsidR="008244C7" w:rsidRPr="006576E5">
        <w:rPr>
          <w:rFonts w:ascii="Bookman Old Style" w:hAnsi="Bookman Old Style"/>
        </w:rPr>
        <w:t>de l’emploi agricole supplémentaire par rapport à la situation d’avant la mise en place de GFS</w:t>
      </w:r>
      <w:r w:rsidRPr="006576E5">
        <w:rPr>
          <w:rFonts w:ascii="Bookman Old Style" w:hAnsi="Bookman Old Style"/>
        </w:rPr>
        <w:t xml:space="preserve">.  </w:t>
      </w:r>
    </w:p>
    <w:p w14:paraId="36C57D4B" w14:textId="651438A7" w:rsidR="008244C7" w:rsidRPr="00874602" w:rsidRDefault="008244C7" w:rsidP="00874602">
      <w:pPr>
        <w:spacing w:before="240" w:line="276" w:lineRule="auto"/>
        <w:ind w:left="360"/>
        <w:jc w:val="both"/>
        <w:rPr>
          <w:rFonts w:ascii="Bookman Old Style" w:hAnsi="Bookman Old Style"/>
          <w:b/>
          <w:bCs/>
        </w:rPr>
      </w:pPr>
      <w:r w:rsidRPr="00874602">
        <w:rPr>
          <w:rFonts w:ascii="Bookman Old Style" w:hAnsi="Bookman Old Style"/>
          <w:b/>
          <w:bCs/>
        </w:rPr>
        <w:t>Sécurité alimentaire et nutritionnelle</w:t>
      </w:r>
    </w:p>
    <w:p w14:paraId="6672A085" w14:textId="57434398" w:rsidR="006576E5" w:rsidRDefault="006576E5" w:rsidP="006576E5">
      <w:pPr>
        <w:pStyle w:val="Paragraphedeliste"/>
        <w:numPr>
          <w:ilvl w:val="0"/>
          <w:numId w:val="47"/>
        </w:numPr>
        <w:spacing w:before="240" w:line="276" w:lineRule="auto"/>
        <w:jc w:val="both"/>
        <w:rPr>
          <w:rFonts w:ascii="Bookman Old Style" w:hAnsi="Bookman Old Style"/>
        </w:rPr>
      </w:pPr>
      <w:r w:rsidRPr="006576E5">
        <w:rPr>
          <w:rFonts w:ascii="Bookman Old Style" w:hAnsi="Bookman Old Style"/>
        </w:rPr>
        <w:t xml:space="preserve">L’impact de GFS sur la sécurité alimentaire et nutritionnelle des ménages peut s’apprécier par l’augmentation de nombre de repas par jour au niveau des ménages. </w:t>
      </w:r>
      <w:r w:rsidR="008244C7">
        <w:rPr>
          <w:rFonts w:ascii="Bookman Old Style" w:hAnsi="Bookman Old Style"/>
        </w:rPr>
        <w:t>O</w:t>
      </w:r>
      <w:r w:rsidRPr="006576E5">
        <w:rPr>
          <w:rFonts w:ascii="Bookman Old Style" w:hAnsi="Bookman Old Style"/>
        </w:rPr>
        <w:t xml:space="preserve">n note une augmentation de nombre de repas </w:t>
      </w:r>
      <w:r w:rsidR="008244C7">
        <w:rPr>
          <w:rFonts w:ascii="Bookman Old Style" w:hAnsi="Bookman Old Style"/>
        </w:rPr>
        <w:t>de l’ordre de</w:t>
      </w:r>
      <w:r w:rsidRPr="006576E5">
        <w:rPr>
          <w:rFonts w:ascii="Bookman Old Style" w:hAnsi="Bookman Old Style"/>
        </w:rPr>
        <w:t xml:space="preserve"> 40% des réponses à Tahoua contre 28% à Zinder (plus petit taux).</w:t>
      </w:r>
      <w:r w:rsidR="00DE5FDB">
        <w:rPr>
          <w:rFonts w:ascii="Bookman Old Style" w:hAnsi="Bookman Old Style"/>
        </w:rPr>
        <w:t xml:space="preserve"> </w:t>
      </w:r>
      <w:r w:rsidRPr="00874602">
        <w:rPr>
          <w:rFonts w:ascii="Bookman Old Style" w:hAnsi="Bookman Old Style"/>
        </w:rPr>
        <w:t>Cette augmentation se traduit par le rehaussement du nombre de repas pris par le ménage de 1 à 2 repas, 1 à 3 repas ou 2 à 3 repas. Ainsi, on relève que le passage de 1 repas par jour à 2 est sensiblement le même au niveau de 3 régions avec un léger avantage pour la région de Tahoua (35% contre 33% et 32% respectivement à Zinder et Maradi). Pour le passage de 1 à 3 repas par jour, la région de Tahoua est en tête avec 51% contre 16% à Zinder, plus faible taux. Par contre, c’est à Zinder qu’on enregistre le plus de passage de 2 à 3 repas par jour avec 67% contre 13% à Tahoua.</w:t>
      </w:r>
    </w:p>
    <w:p w14:paraId="4A84F67C" w14:textId="6B7DBEB8" w:rsidR="004812FC" w:rsidRPr="00247FC3" w:rsidRDefault="004812FC" w:rsidP="00247FC3">
      <w:pPr>
        <w:pStyle w:val="Paragraphedeliste"/>
        <w:spacing w:before="240" w:line="276" w:lineRule="auto"/>
        <w:ind w:left="720"/>
        <w:jc w:val="both"/>
        <w:rPr>
          <w:rFonts w:ascii="Bookman Old Style" w:hAnsi="Bookman Old Style"/>
          <w:b/>
          <w:bCs/>
        </w:rPr>
      </w:pPr>
      <w:r w:rsidRPr="00247FC3">
        <w:rPr>
          <w:rFonts w:ascii="Bookman Old Style" w:hAnsi="Bookman Old Style"/>
          <w:b/>
          <w:bCs/>
        </w:rPr>
        <w:t>Recours au crédit par les ménages ruraux</w:t>
      </w:r>
    </w:p>
    <w:p w14:paraId="3417C008" w14:textId="0BCF15C3" w:rsidR="004812FC" w:rsidRPr="00874602" w:rsidRDefault="004812FC" w:rsidP="00874602">
      <w:pPr>
        <w:pStyle w:val="Paragraphedeliste"/>
        <w:numPr>
          <w:ilvl w:val="0"/>
          <w:numId w:val="47"/>
        </w:numPr>
        <w:spacing w:before="240" w:line="276" w:lineRule="auto"/>
        <w:jc w:val="both"/>
        <w:rPr>
          <w:rFonts w:ascii="Bookman Old Style" w:hAnsi="Bookman Old Style"/>
        </w:rPr>
      </w:pPr>
      <w:r w:rsidRPr="00874602">
        <w:rPr>
          <w:rFonts w:ascii="Bookman Old Style" w:hAnsi="Bookman Old Style"/>
        </w:rPr>
        <w:t>Quoique indispensable à certain moment (période de soudure) pour les ménages ruraux vulnérables</w:t>
      </w:r>
      <w:r w:rsidR="00247FC3">
        <w:rPr>
          <w:rFonts w:ascii="Bookman Old Style" w:hAnsi="Bookman Old Style"/>
        </w:rPr>
        <w:t>,</w:t>
      </w:r>
      <w:r w:rsidRPr="00874602">
        <w:rPr>
          <w:rFonts w:ascii="Bookman Old Style" w:hAnsi="Bookman Old Style"/>
        </w:rPr>
        <w:t xml:space="preserve"> le recours au crédit en espèces tout comme en nature compromet le relèvement des ménages ruraux</w:t>
      </w:r>
      <w:r w:rsidR="00874602" w:rsidRPr="00874602">
        <w:rPr>
          <w:rFonts w:ascii="Bookman Old Style" w:hAnsi="Bookman Old Style"/>
        </w:rPr>
        <w:t xml:space="preserve"> car</w:t>
      </w:r>
      <w:r w:rsidRPr="00874602">
        <w:rPr>
          <w:rFonts w:ascii="Bookman Old Style" w:hAnsi="Bookman Old Style"/>
        </w:rPr>
        <w:t xml:space="preserve"> le remboursement repose sur les résultats de la campagne agricole, qui elle-même est aléatoire.</w:t>
      </w:r>
      <w:r w:rsidR="00247FC3">
        <w:rPr>
          <w:rFonts w:ascii="Bookman Old Style" w:hAnsi="Bookman Old Style"/>
        </w:rPr>
        <w:t xml:space="preserve"> L</w:t>
      </w:r>
      <w:r w:rsidRPr="00874602">
        <w:rPr>
          <w:rFonts w:ascii="Bookman Old Style" w:hAnsi="Bookman Old Style"/>
        </w:rPr>
        <w:t xml:space="preserve">e GFS est censé répondre en partie à ce problème de recours au crédit par la mise à disposition des vivres aux ménages ruraux en période critique qu’est la soudure où les stocks alimentaires sont généralement épuisés. </w:t>
      </w:r>
      <w:r w:rsidR="00247FC3">
        <w:rPr>
          <w:rFonts w:ascii="Bookman Old Style" w:hAnsi="Bookman Old Style"/>
        </w:rPr>
        <w:t xml:space="preserve">Les résultats de l’étude nous indiquent </w:t>
      </w:r>
      <w:r w:rsidRPr="00874602">
        <w:rPr>
          <w:rFonts w:ascii="Bookman Old Style" w:hAnsi="Bookman Old Style"/>
        </w:rPr>
        <w:t>effectivement que le GFS contribue à la réduction de recours au crédit en milieu rural. Cette réduction est plus considérable à Maradi où 54% des enquêtées l’affirment contre 20% et 26% respectivement à Tahoua et Zinder.</w:t>
      </w:r>
    </w:p>
    <w:p w14:paraId="22264962" w14:textId="209BA87C" w:rsidR="004812FC" w:rsidRPr="00247FC3" w:rsidRDefault="00BA50D0" w:rsidP="00247FC3">
      <w:pPr>
        <w:pStyle w:val="Paragraphedeliste"/>
        <w:spacing w:before="240" w:line="276" w:lineRule="auto"/>
        <w:ind w:left="720"/>
        <w:jc w:val="both"/>
        <w:rPr>
          <w:rFonts w:ascii="Bookman Old Style" w:hAnsi="Bookman Old Style"/>
          <w:b/>
          <w:bCs/>
        </w:rPr>
      </w:pPr>
      <w:r w:rsidRPr="00247FC3">
        <w:rPr>
          <w:rFonts w:ascii="Bookman Old Style" w:hAnsi="Bookman Old Style"/>
          <w:b/>
          <w:bCs/>
        </w:rPr>
        <w:t>COGES GFS</w:t>
      </w:r>
    </w:p>
    <w:p w14:paraId="707CB393" w14:textId="0BB8F27C" w:rsidR="004812FC" w:rsidRPr="004812FC" w:rsidRDefault="00BA50D0" w:rsidP="004812FC">
      <w:pPr>
        <w:pStyle w:val="Paragraphedeliste"/>
        <w:numPr>
          <w:ilvl w:val="0"/>
          <w:numId w:val="47"/>
        </w:numPr>
        <w:spacing w:before="240" w:line="276" w:lineRule="auto"/>
        <w:jc w:val="both"/>
        <w:rPr>
          <w:rFonts w:ascii="Bookman Old Style" w:hAnsi="Bookman Old Style"/>
        </w:rPr>
      </w:pPr>
      <w:r>
        <w:rPr>
          <w:rFonts w:ascii="Bookman Old Style" w:hAnsi="Bookman Old Style"/>
        </w:rPr>
        <w:t>L</w:t>
      </w:r>
      <w:r w:rsidR="004812FC" w:rsidRPr="004812FC">
        <w:rPr>
          <w:rFonts w:ascii="Bookman Old Style" w:hAnsi="Bookman Old Style"/>
        </w:rPr>
        <w:t>es COGES tiennent de réunion sur le GFS à diverses fréquences</w:t>
      </w:r>
      <w:r w:rsidRPr="00BA50D0">
        <w:rPr>
          <w:rFonts w:ascii="Bookman Old Style" w:hAnsi="Bookman Old Style"/>
        </w:rPr>
        <w:t xml:space="preserve"> </w:t>
      </w:r>
      <w:r>
        <w:rPr>
          <w:rFonts w:ascii="Bookman Old Style" w:hAnsi="Bookman Old Style"/>
        </w:rPr>
        <w:t>d</w:t>
      </w:r>
      <w:r w:rsidRPr="004812FC">
        <w:rPr>
          <w:rFonts w:ascii="Bookman Old Style" w:hAnsi="Bookman Old Style"/>
        </w:rPr>
        <w:t>ans tous les villages GFS objets d’enquête</w:t>
      </w:r>
      <w:r w:rsidR="004812FC" w:rsidRPr="004812FC">
        <w:rPr>
          <w:rFonts w:ascii="Bookman Old Style" w:hAnsi="Bookman Old Style"/>
        </w:rPr>
        <w:t xml:space="preserve">. </w:t>
      </w:r>
      <w:r>
        <w:rPr>
          <w:rFonts w:ascii="Bookman Old Style" w:hAnsi="Bookman Old Style"/>
        </w:rPr>
        <w:t>Les AG sont convoquées par 96% des COGES</w:t>
      </w:r>
      <w:r w:rsidRPr="00BA50D0">
        <w:rPr>
          <w:rFonts w:ascii="Bookman Old Style" w:hAnsi="Bookman Old Style"/>
        </w:rPr>
        <w:t xml:space="preserve"> </w:t>
      </w:r>
      <w:r w:rsidRPr="004812FC">
        <w:rPr>
          <w:rFonts w:ascii="Bookman Old Style" w:hAnsi="Bookman Old Style"/>
        </w:rPr>
        <w:t>afin de rendre compte de leur gestion et échanger sur la conduite à suivre pour le maintien et la durabilité de GFS.</w:t>
      </w:r>
    </w:p>
    <w:p w14:paraId="7B0200D1" w14:textId="50E30A1B" w:rsidR="004812FC" w:rsidRPr="004812FC" w:rsidRDefault="00BA50D0" w:rsidP="004812FC">
      <w:pPr>
        <w:pStyle w:val="Paragraphedeliste"/>
        <w:numPr>
          <w:ilvl w:val="0"/>
          <w:numId w:val="47"/>
        </w:numPr>
        <w:spacing w:before="240" w:line="276" w:lineRule="auto"/>
        <w:jc w:val="both"/>
        <w:rPr>
          <w:rFonts w:ascii="Bookman Old Style" w:hAnsi="Bookman Old Style"/>
        </w:rPr>
      </w:pPr>
      <w:r>
        <w:rPr>
          <w:rFonts w:ascii="Bookman Old Style" w:hAnsi="Bookman Old Style"/>
        </w:rPr>
        <w:lastRenderedPageBreak/>
        <w:t>L</w:t>
      </w:r>
      <w:r w:rsidR="004812FC" w:rsidRPr="004812FC">
        <w:rPr>
          <w:rFonts w:ascii="Bookman Old Style" w:hAnsi="Bookman Old Style"/>
        </w:rPr>
        <w:t>es COGES fournissent assez d’efforts pour respecter les délais</w:t>
      </w:r>
      <w:r>
        <w:rPr>
          <w:rFonts w:ascii="Bookman Old Style" w:hAnsi="Bookman Old Style"/>
        </w:rPr>
        <w:t xml:space="preserve"> des réunions avec</w:t>
      </w:r>
      <w:r w:rsidR="004812FC" w:rsidRPr="004812FC">
        <w:rPr>
          <w:rFonts w:ascii="Bookman Old Style" w:hAnsi="Bookman Old Style"/>
        </w:rPr>
        <w:t xml:space="preserve"> 75% (Tahoua) </w:t>
      </w:r>
      <w:r>
        <w:rPr>
          <w:rFonts w:ascii="Bookman Old Style" w:hAnsi="Bookman Old Style"/>
        </w:rPr>
        <w:t>contre</w:t>
      </w:r>
      <w:r w:rsidR="004812FC" w:rsidRPr="004812FC">
        <w:rPr>
          <w:rFonts w:ascii="Bookman Old Style" w:hAnsi="Bookman Old Style"/>
        </w:rPr>
        <w:t xml:space="preserve"> 100% à Zinder. </w:t>
      </w:r>
      <w:r w:rsidRPr="00BA50D0">
        <w:rPr>
          <w:rFonts w:ascii="Bookman Old Style" w:hAnsi="Bookman Old Style"/>
        </w:rPr>
        <w:t>Les fréquences des AG sont respectées à 100% au niveau de la région de Maradi et Zinder.</w:t>
      </w:r>
    </w:p>
    <w:p w14:paraId="42E7C0FF" w14:textId="3C5DBD12" w:rsidR="0095282B" w:rsidRDefault="004812FC" w:rsidP="004812FC">
      <w:pPr>
        <w:pStyle w:val="Paragraphedeliste"/>
        <w:numPr>
          <w:ilvl w:val="0"/>
          <w:numId w:val="47"/>
        </w:numPr>
        <w:spacing w:before="240" w:line="276" w:lineRule="auto"/>
        <w:jc w:val="both"/>
        <w:rPr>
          <w:rFonts w:ascii="Bookman Old Style" w:hAnsi="Bookman Old Style"/>
        </w:rPr>
      </w:pPr>
      <w:r w:rsidRPr="004812FC">
        <w:rPr>
          <w:rFonts w:ascii="Bookman Old Style" w:hAnsi="Bookman Old Style"/>
        </w:rPr>
        <w:t>Outre le respect de fréquence, les COGES GFS établissent des procès-verbaux PV de leurs réunions</w:t>
      </w:r>
      <w:r w:rsidR="0095282B">
        <w:rPr>
          <w:rFonts w:ascii="Bookman Old Style" w:hAnsi="Bookman Old Style"/>
        </w:rPr>
        <w:t xml:space="preserve"> (</w:t>
      </w:r>
      <w:r w:rsidR="0095282B" w:rsidRPr="004812FC">
        <w:rPr>
          <w:rFonts w:ascii="Bookman Old Style" w:hAnsi="Bookman Old Style"/>
        </w:rPr>
        <w:t>au moins 63% des COGES</w:t>
      </w:r>
      <w:r w:rsidR="0095282B">
        <w:rPr>
          <w:rFonts w:ascii="Bookman Old Style" w:hAnsi="Bookman Old Style"/>
        </w:rPr>
        <w:t>) et AG</w:t>
      </w:r>
      <w:r w:rsidR="0095282B" w:rsidRPr="004812FC">
        <w:rPr>
          <w:rFonts w:ascii="Bookman Old Style" w:hAnsi="Bookman Old Style"/>
        </w:rPr>
        <w:t xml:space="preserve"> </w:t>
      </w:r>
      <w:r w:rsidR="0095282B">
        <w:rPr>
          <w:rFonts w:ascii="Bookman Old Style" w:hAnsi="Bookman Old Style"/>
        </w:rPr>
        <w:t>(</w:t>
      </w:r>
      <w:r w:rsidR="0095282B" w:rsidRPr="0095282B">
        <w:rPr>
          <w:rFonts w:ascii="Bookman Old Style" w:hAnsi="Bookman Old Style"/>
        </w:rPr>
        <w:t>avec un taux de 88%</w:t>
      </w:r>
      <w:r w:rsidR="0095282B">
        <w:rPr>
          <w:rFonts w:ascii="Bookman Old Style" w:hAnsi="Bookman Old Style"/>
        </w:rPr>
        <w:t xml:space="preserve"> à Zinder et 63% à</w:t>
      </w:r>
      <w:r w:rsidR="0095282B" w:rsidRPr="0095282B">
        <w:rPr>
          <w:rFonts w:ascii="Bookman Old Style" w:hAnsi="Bookman Old Style"/>
        </w:rPr>
        <w:t xml:space="preserve"> Maradi et Tahoua</w:t>
      </w:r>
      <w:r w:rsidR="0095282B">
        <w:rPr>
          <w:rFonts w:ascii="Bookman Old Style" w:hAnsi="Bookman Old Style"/>
        </w:rPr>
        <w:t>).</w:t>
      </w:r>
      <w:r w:rsidR="0095282B" w:rsidRPr="0095282B">
        <w:rPr>
          <w:rFonts w:ascii="Bookman Old Style" w:hAnsi="Bookman Old Style"/>
        </w:rPr>
        <w:t xml:space="preserve"> </w:t>
      </w:r>
      <w:r w:rsidR="0095282B">
        <w:rPr>
          <w:rFonts w:ascii="Bookman Old Style" w:hAnsi="Bookman Old Style"/>
        </w:rPr>
        <w:t xml:space="preserve"> </w:t>
      </w:r>
    </w:p>
    <w:p w14:paraId="33842F18" w14:textId="07EAE3BD" w:rsidR="004812FC" w:rsidRDefault="00874602" w:rsidP="00874602">
      <w:pPr>
        <w:pStyle w:val="Paragraphedeliste"/>
        <w:numPr>
          <w:ilvl w:val="0"/>
          <w:numId w:val="47"/>
        </w:numPr>
        <w:spacing w:before="240" w:line="276" w:lineRule="auto"/>
        <w:jc w:val="both"/>
        <w:rPr>
          <w:rFonts w:ascii="Bookman Old Style" w:hAnsi="Bookman Old Style"/>
        </w:rPr>
      </w:pPr>
      <w:r>
        <w:rPr>
          <w:rFonts w:ascii="Bookman Old Style" w:hAnsi="Bookman Old Style"/>
        </w:rPr>
        <w:t>62% des COGES GFS tiennent</w:t>
      </w:r>
      <w:r w:rsidRPr="00874602">
        <w:rPr>
          <w:rFonts w:ascii="Bookman Old Style" w:hAnsi="Bookman Old Style"/>
        </w:rPr>
        <w:t xml:space="preserve"> bon</w:t>
      </w:r>
      <w:r>
        <w:rPr>
          <w:rFonts w:ascii="Bookman Old Style" w:hAnsi="Bookman Old Style"/>
        </w:rPr>
        <w:t xml:space="preserve"> l</w:t>
      </w:r>
      <w:r w:rsidRPr="00874602">
        <w:rPr>
          <w:rFonts w:ascii="Bookman Old Style" w:hAnsi="Bookman Old Style"/>
        </w:rPr>
        <w:t xml:space="preserve">es documents de gestion de GFS. </w:t>
      </w:r>
      <w:r>
        <w:rPr>
          <w:rFonts w:ascii="Bookman Old Style" w:hAnsi="Bookman Old Style"/>
        </w:rPr>
        <w:t>Le taux de</w:t>
      </w:r>
      <w:r w:rsidRPr="00874602">
        <w:rPr>
          <w:rFonts w:ascii="Bookman Old Style" w:hAnsi="Bookman Old Style"/>
        </w:rPr>
        <w:t xml:space="preserve"> bonne tenue des documents varie de 33% à Maradi à 97% à Zinder</w:t>
      </w:r>
      <w:r>
        <w:rPr>
          <w:rFonts w:ascii="Bookman Old Style" w:hAnsi="Bookman Old Style"/>
        </w:rPr>
        <w:t xml:space="preserve">. </w:t>
      </w:r>
      <w:r w:rsidRPr="00874602">
        <w:rPr>
          <w:rFonts w:ascii="Bookman Old Style" w:hAnsi="Bookman Old Style"/>
        </w:rPr>
        <w:t>Les documents non tenus du tout sont très insignifiant (moins de 6%) même si par ailleurs il est aussi important de les renseigner.</w:t>
      </w:r>
      <w:r>
        <w:rPr>
          <w:rFonts w:ascii="Bookman Old Style" w:hAnsi="Bookman Old Style"/>
        </w:rPr>
        <w:t xml:space="preserve"> </w:t>
      </w:r>
      <w:r w:rsidRPr="00874602">
        <w:rPr>
          <w:rFonts w:ascii="Bookman Old Style" w:hAnsi="Bookman Old Style"/>
        </w:rPr>
        <w:t>Un effort de renforcement des capacités et d’appui-conseil est nécessaire pour les COGES GFS de Maradi afin relever le niveau de bon remplissage des documents.</w:t>
      </w:r>
    </w:p>
    <w:p w14:paraId="369AA890" w14:textId="5BD1E575" w:rsidR="00596BE7" w:rsidRDefault="00596BE7" w:rsidP="006E51C5">
      <w:pPr>
        <w:spacing w:before="240" w:line="276" w:lineRule="auto"/>
        <w:jc w:val="both"/>
        <w:rPr>
          <w:rFonts w:ascii="Bookman Old Style" w:hAnsi="Bookman Old Style"/>
          <w:b/>
          <w:bCs/>
        </w:rPr>
      </w:pPr>
    </w:p>
    <w:p w14:paraId="1E5CA062" w14:textId="2F6786B8" w:rsidR="00DC41A2" w:rsidRDefault="00DC41A2" w:rsidP="006E51C5">
      <w:pPr>
        <w:spacing w:before="240" w:line="276" w:lineRule="auto"/>
        <w:jc w:val="both"/>
        <w:rPr>
          <w:rFonts w:ascii="Bookman Old Style" w:hAnsi="Bookman Old Style"/>
          <w:b/>
          <w:bCs/>
        </w:rPr>
      </w:pPr>
    </w:p>
    <w:p w14:paraId="31A7FFBF" w14:textId="65D9C0AB" w:rsidR="00DC41A2" w:rsidRDefault="00DC41A2" w:rsidP="006E51C5">
      <w:pPr>
        <w:spacing w:before="240" w:line="276" w:lineRule="auto"/>
        <w:jc w:val="both"/>
        <w:rPr>
          <w:rFonts w:ascii="Bookman Old Style" w:hAnsi="Bookman Old Style"/>
          <w:b/>
          <w:bCs/>
        </w:rPr>
      </w:pPr>
    </w:p>
    <w:p w14:paraId="6DC13BFB" w14:textId="49BFDBD9" w:rsidR="00DC41A2" w:rsidRDefault="00DC41A2" w:rsidP="006E51C5">
      <w:pPr>
        <w:spacing w:before="240" w:line="276" w:lineRule="auto"/>
        <w:jc w:val="both"/>
        <w:rPr>
          <w:rFonts w:ascii="Bookman Old Style" w:hAnsi="Bookman Old Style"/>
          <w:b/>
          <w:bCs/>
        </w:rPr>
      </w:pPr>
    </w:p>
    <w:p w14:paraId="6061F5B0" w14:textId="2D9EEE29" w:rsidR="00DC41A2" w:rsidRDefault="00DC41A2" w:rsidP="006E51C5">
      <w:pPr>
        <w:spacing w:before="240" w:line="276" w:lineRule="auto"/>
        <w:jc w:val="both"/>
        <w:rPr>
          <w:rFonts w:ascii="Bookman Old Style" w:hAnsi="Bookman Old Style"/>
          <w:b/>
          <w:bCs/>
        </w:rPr>
      </w:pPr>
    </w:p>
    <w:p w14:paraId="45235D48" w14:textId="3C28446B" w:rsidR="00DC41A2" w:rsidRDefault="00DC41A2" w:rsidP="006E51C5">
      <w:pPr>
        <w:spacing w:before="240" w:line="276" w:lineRule="auto"/>
        <w:jc w:val="both"/>
        <w:rPr>
          <w:rFonts w:ascii="Bookman Old Style" w:hAnsi="Bookman Old Style"/>
          <w:b/>
          <w:bCs/>
        </w:rPr>
      </w:pPr>
    </w:p>
    <w:p w14:paraId="294ABDFD" w14:textId="16107011" w:rsidR="00DC41A2" w:rsidRDefault="00DC41A2" w:rsidP="006E51C5">
      <w:pPr>
        <w:spacing w:before="240" w:line="276" w:lineRule="auto"/>
        <w:jc w:val="both"/>
        <w:rPr>
          <w:rFonts w:ascii="Bookman Old Style" w:hAnsi="Bookman Old Style"/>
          <w:b/>
          <w:bCs/>
        </w:rPr>
      </w:pPr>
    </w:p>
    <w:p w14:paraId="0FA7F37A" w14:textId="0FC2417E" w:rsidR="00DC41A2" w:rsidRDefault="00DC41A2" w:rsidP="006E51C5">
      <w:pPr>
        <w:spacing w:before="240" w:line="276" w:lineRule="auto"/>
        <w:jc w:val="both"/>
        <w:rPr>
          <w:rFonts w:ascii="Bookman Old Style" w:hAnsi="Bookman Old Style"/>
          <w:b/>
          <w:bCs/>
        </w:rPr>
      </w:pPr>
    </w:p>
    <w:p w14:paraId="2A573ED7" w14:textId="3D639A78" w:rsidR="00DC41A2" w:rsidRDefault="00DC41A2" w:rsidP="006E51C5">
      <w:pPr>
        <w:spacing w:before="240" w:line="276" w:lineRule="auto"/>
        <w:jc w:val="both"/>
        <w:rPr>
          <w:rFonts w:ascii="Bookman Old Style" w:hAnsi="Bookman Old Style"/>
          <w:b/>
          <w:bCs/>
        </w:rPr>
      </w:pPr>
    </w:p>
    <w:p w14:paraId="3129B8F9" w14:textId="4E9E863E" w:rsidR="00DC41A2" w:rsidRDefault="00DC41A2" w:rsidP="006E51C5">
      <w:pPr>
        <w:spacing w:before="240" w:line="276" w:lineRule="auto"/>
        <w:jc w:val="both"/>
        <w:rPr>
          <w:rFonts w:ascii="Bookman Old Style" w:hAnsi="Bookman Old Style"/>
          <w:b/>
          <w:bCs/>
        </w:rPr>
      </w:pPr>
    </w:p>
    <w:p w14:paraId="3290C553" w14:textId="272665E1" w:rsidR="00DC41A2" w:rsidRDefault="00DC41A2" w:rsidP="006E51C5">
      <w:pPr>
        <w:spacing w:before="240" w:line="276" w:lineRule="auto"/>
        <w:jc w:val="both"/>
        <w:rPr>
          <w:rFonts w:ascii="Bookman Old Style" w:hAnsi="Bookman Old Style"/>
          <w:b/>
          <w:bCs/>
        </w:rPr>
      </w:pPr>
    </w:p>
    <w:p w14:paraId="071F280E" w14:textId="273E591A" w:rsidR="00DC41A2" w:rsidRDefault="00DC41A2" w:rsidP="006E51C5">
      <w:pPr>
        <w:spacing w:before="240" w:line="276" w:lineRule="auto"/>
        <w:jc w:val="both"/>
        <w:rPr>
          <w:rFonts w:ascii="Bookman Old Style" w:hAnsi="Bookman Old Style"/>
          <w:b/>
          <w:bCs/>
        </w:rPr>
      </w:pPr>
    </w:p>
    <w:p w14:paraId="1DECF185" w14:textId="0A9F6C32" w:rsidR="00DC41A2" w:rsidRDefault="00DC41A2" w:rsidP="006E51C5">
      <w:pPr>
        <w:spacing w:before="240" w:line="276" w:lineRule="auto"/>
        <w:jc w:val="both"/>
        <w:rPr>
          <w:rFonts w:ascii="Bookman Old Style" w:hAnsi="Bookman Old Style"/>
          <w:b/>
          <w:bCs/>
        </w:rPr>
      </w:pPr>
    </w:p>
    <w:p w14:paraId="21066AA5" w14:textId="258E4F29" w:rsidR="00DC41A2" w:rsidRDefault="00DC41A2">
      <w:pPr>
        <w:rPr>
          <w:rFonts w:ascii="Bookman Old Style" w:hAnsi="Bookman Old Style"/>
          <w:b/>
          <w:bCs/>
        </w:rPr>
      </w:pPr>
      <w:r>
        <w:rPr>
          <w:rFonts w:ascii="Bookman Old Style" w:hAnsi="Bookman Old Style"/>
          <w:b/>
          <w:bCs/>
        </w:rPr>
        <w:br w:type="page"/>
      </w:r>
    </w:p>
    <w:p w14:paraId="64924C5A" w14:textId="5F79F7BE" w:rsidR="00596BE7" w:rsidRDefault="00596BE7" w:rsidP="00501350">
      <w:pPr>
        <w:pStyle w:val="Paragraphedeliste"/>
        <w:numPr>
          <w:ilvl w:val="0"/>
          <w:numId w:val="3"/>
        </w:numPr>
        <w:spacing w:before="240" w:line="276" w:lineRule="auto"/>
        <w:outlineLvl w:val="0"/>
        <w:rPr>
          <w:rFonts w:ascii="Bookman Old Style" w:hAnsi="Bookman Old Style" w:cs="Arial"/>
          <w:b/>
        </w:rPr>
      </w:pPr>
      <w:bookmarkStart w:id="4" w:name="_Toc97822340"/>
      <w:r>
        <w:rPr>
          <w:rFonts w:ascii="Bookman Old Style" w:hAnsi="Bookman Old Style" w:cs="Arial"/>
          <w:b/>
        </w:rPr>
        <w:lastRenderedPageBreak/>
        <w:t>INTRODUCTION</w:t>
      </w:r>
      <w:bookmarkEnd w:id="4"/>
    </w:p>
    <w:p w14:paraId="73DE961A" w14:textId="5D2B257F" w:rsidR="00F93038" w:rsidRDefault="007739CB" w:rsidP="00CA54A5">
      <w:pPr>
        <w:spacing w:before="240" w:line="276" w:lineRule="auto"/>
        <w:jc w:val="both"/>
        <w:rPr>
          <w:rFonts w:ascii="Bookman Old Style" w:hAnsi="Bookman Old Style"/>
        </w:rPr>
      </w:pPr>
      <w:r w:rsidRPr="007739CB">
        <w:rPr>
          <w:rFonts w:ascii="Bookman Old Style" w:hAnsi="Bookman Old Style"/>
        </w:rPr>
        <w:t xml:space="preserve">Le </w:t>
      </w:r>
      <w:r w:rsidR="00F93038">
        <w:rPr>
          <w:rFonts w:ascii="Bookman Old Style" w:hAnsi="Bookman Old Style"/>
        </w:rPr>
        <w:t xml:space="preserve">Programme de Développement de l’Agriculture Familiale ProDAF est une initiative de l’Etat du </w:t>
      </w:r>
      <w:r w:rsidRPr="007739CB">
        <w:rPr>
          <w:rFonts w:ascii="Bookman Old Style" w:hAnsi="Bookman Old Style"/>
        </w:rPr>
        <w:t>Niger</w:t>
      </w:r>
      <w:r w:rsidR="00F93038">
        <w:rPr>
          <w:rFonts w:ascii="Bookman Old Style" w:hAnsi="Bookman Old Style"/>
        </w:rPr>
        <w:t xml:space="preserve"> qui</w:t>
      </w:r>
      <w:r w:rsidRPr="007739CB">
        <w:rPr>
          <w:rFonts w:ascii="Bookman Old Style" w:hAnsi="Bookman Old Style"/>
        </w:rPr>
        <w:t xml:space="preserve"> a sollicité et obtenu de ses partenaires techniques et financiers sous le leadership du Fonds International de Développement Agricole (FIDA), le financement du</w:t>
      </w:r>
      <w:r w:rsidR="00F93038">
        <w:rPr>
          <w:rFonts w:ascii="Bookman Old Style" w:hAnsi="Bookman Old Style"/>
        </w:rPr>
        <w:t>dit</w:t>
      </w:r>
      <w:r w:rsidRPr="007739CB">
        <w:rPr>
          <w:rFonts w:ascii="Bookman Old Style" w:hAnsi="Bookman Old Style"/>
        </w:rPr>
        <w:t xml:space="preserve"> Programme</w:t>
      </w:r>
      <w:r w:rsidR="00F93038">
        <w:rPr>
          <w:rFonts w:ascii="Bookman Old Style" w:hAnsi="Bookman Old Style"/>
        </w:rPr>
        <w:t>.</w:t>
      </w:r>
      <w:r w:rsidRPr="007739CB">
        <w:rPr>
          <w:rFonts w:ascii="Bookman Old Style" w:hAnsi="Bookman Old Style"/>
        </w:rPr>
        <w:t xml:space="preserve"> </w:t>
      </w:r>
      <w:r w:rsidR="00F93038">
        <w:rPr>
          <w:rFonts w:ascii="Bookman Old Style" w:hAnsi="Bookman Old Style"/>
        </w:rPr>
        <w:t>Il est mis en œuvre depuis 2015 dans les régions de Tahoua, Maradi et Zinder pour une durée de 8 ans.</w:t>
      </w:r>
    </w:p>
    <w:p w14:paraId="22BDD152" w14:textId="77777777" w:rsidR="00F93038" w:rsidRPr="007739CB" w:rsidRDefault="00F93038" w:rsidP="00CA54A5">
      <w:pPr>
        <w:spacing w:before="240" w:line="276" w:lineRule="auto"/>
        <w:jc w:val="both"/>
        <w:rPr>
          <w:rFonts w:ascii="Bookman Old Style" w:hAnsi="Bookman Old Style"/>
        </w:rPr>
      </w:pPr>
      <w:r w:rsidRPr="007739CB">
        <w:rPr>
          <w:rFonts w:ascii="Bookman Old Style" w:hAnsi="Bookman Old Style"/>
        </w:rPr>
        <w:t>L’objectif global du ProDAF est de contribuer à assurer durablement la sécurité alimentaire et nutritionnelle, et les capacités de résilience aux crises de 290 000 ménages ruraux des régions de Maradi, Tahoua et Zinder. Son objectif de développement est d’augmenter durablement les revenus des exploitations agricoles familiales, leur résilience aux chocs extérieurs, dont les changements climatiques, ainsi que leur accès aux marchés locaux, urbains et régionaux des régions de Maradi, Tahoua et Zinder.</w:t>
      </w:r>
    </w:p>
    <w:p w14:paraId="3771A6F9" w14:textId="419931FD" w:rsidR="00F93038" w:rsidRDefault="00FE1F11" w:rsidP="00CA54A5">
      <w:pPr>
        <w:spacing w:before="240" w:line="276" w:lineRule="auto"/>
        <w:jc w:val="both"/>
        <w:rPr>
          <w:rFonts w:ascii="Bookman Old Style" w:hAnsi="Bookman Old Style"/>
        </w:rPr>
      </w:pPr>
      <w:r w:rsidRPr="00FE1F11">
        <w:rPr>
          <w:rFonts w:ascii="Bookman Old Style" w:hAnsi="Bookman Old Style"/>
        </w:rPr>
        <w:t>Les principaux groupe-cibles du ProDAF sont les exploitations agricoles familiales vulnérables. Le ProDAF s’efforce d’appuyer non seulement les personnes en situation de pauvreté chronique, mais aussi celles qui risquent de glisser dans la pauvreté, et qui sont vulnérables aux chocs externes. Outre les exploitations agricoles familiales, les femmes et les jeunes constituent la majeure partie de cette population cible. Il s’agit de catégories vulnérables à cause de leur accès difficile à : i) la terre et à l’eau ; ii) des revenus propres ; et iii) la prise de décision dans leurs communautés. A cet effet, le ProDAF a adopté la stratégie genre "Développement équitable et autonomisation des femmes et des jeunes" élaborée par les projets FIDA antérieurs pour prendre en compte les besoins spécifiques de ces catégories sociales.</w:t>
      </w:r>
    </w:p>
    <w:p w14:paraId="63298697" w14:textId="3DC163F4" w:rsidR="007739CB" w:rsidRPr="007739CB" w:rsidRDefault="007739CB" w:rsidP="00CA54A5">
      <w:pPr>
        <w:spacing w:line="276" w:lineRule="auto"/>
        <w:jc w:val="both"/>
        <w:rPr>
          <w:rFonts w:ascii="Bookman Old Style" w:hAnsi="Bookman Old Style"/>
        </w:rPr>
      </w:pPr>
      <w:r w:rsidRPr="007739CB">
        <w:rPr>
          <w:rFonts w:ascii="Bookman Old Style" w:hAnsi="Bookman Old Style"/>
        </w:rPr>
        <w:t xml:space="preserve"> </w:t>
      </w:r>
    </w:p>
    <w:p w14:paraId="005B1F8E" w14:textId="3831ABA3" w:rsidR="00445EB7" w:rsidRPr="00596BE7" w:rsidRDefault="00445EB7" w:rsidP="00F95F96">
      <w:pPr>
        <w:pStyle w:val="Paragraphedeliste"/>
        <w:numPr>
          <w:ilvl w:val="0"/>
          <w:numId w:val="3"/>
        </w:numPr>
        <w:spacing w:after="240" w:line="276" w:lineRule="auto"/>
        <w:outlineLvl w:val="0"/>
        <w:rPr>
          <w:rFonts w:ascii="Bookman Old Style" w:hAnsi="Bookman Old Style" w:cs="Arial"/>
          <w:b/>
        </w:rPr>
      </w:pPr>
      <w:bookmarkStart w:id="5" w:name="_Toc97822341"/>
      <w:r w:rsidRPr="00596BE7">
        <w:rPr>
          <w:rFonts w:ascii="Bookman Old Style" w:hAnsi="Bookman Old Style" w:cs="Arial"/>
          <w:b/>
        </w:rPr>
        <w:t>CONTEXTE ET JUSTIFICATION</w:t>
      </w:r>
      <w:bookmarkEnd w:id="5"/>
    </w:p>
    <w:p w14:paraId="7A594B63" w14:textId="07A7AB64" w:rsidR="00FE1F11" w:rsidRDefault="00FE1F11" w:rsidP="007B5322">
      <w:pPr>
        <w:spacing w:before="240" w:line="276" w:lineRule="auto"/>
        <w:jc w:val="both"/>
        <w:rPr>
          <w:rFonts w:ascii="Bookman Old Style" w:hAnsi="Bookman Old Style" w:cs="Arial"/>
        </w:rPr>
      </w:pPr>
      <w:r>
        <w:rPr>
          <w:rFonts w:ascii="Bookman Old Style" w:hAnsi="Bookman Old Style" w:cs="Arial"/>
        </w:rPr>
        <w:t xml:space="preserve">Pays à vocation agropastoral, le Niger est confronté depuis plusieurs </w:t>
      </w:r>
      <w:r w:rsidR="00B26AA5">
        <w:rPr>
          <w:rFonts w:ascii="Bookman Old Style" w:hAnsi="Bookman Old Style" w:cs="Arial"/>
        </w:rPr>
        <w:t>décennies</w:t>
      </w:r>
      <w:r>
        <w:rPr>
          <w:rFonts w:ascii="Bookman Old Style" w:hAnsi="Bookman Old Style" w:cs="Arial"/>
        </w:rPr>
        <w:t xml:space="preserve"> à d’énormes </w:t>
      </w:r>
      <w:r w:rsidR="00B26AA5">
        <w:rPr>
          <w:rFonts w:ascii="Bookman Old Style" w:hAnsi="Bookman Old Style" w:cs="Arial"/>
        </w:rPr>
        <w:t>défis</w:t>
      </w:r>
      <w:r>
        <w:rPr>
          <w:rFonts w:ascii="Bookman Old Style" w:hAnsi="Bookman Old Style" w:cs="Arial"/>
        </w:rPr>
        <w:t xml:space="preserve"> de sécurité alimentaire et nutritionnelle. </w:t>
      </w:r>
      <w:r w:rsidR="00B26AA5">
        <w:rPr>
          <w:rFonts w:ascii="Bookman Old Style" w:hAnsi="Bookman Old Style" w:cs="Arial"/>
        </w:rPr>
        <w:t xml:space="preserve">Ces </w:t>
      </w:r>
      <w:r w:rsidR="00D464B1">
        <w:rPr>
          <w:rFonts w:ascii="Bookman Old Style" w:hAnsi="Bookman Old Style" w:cs="Arial"/>
        </w:rPr>
        <w:t>défis</w:t>
      </w:r>
      <w:r w:rsidR="00B26AA5">
        <w:rPr>
          <w:rFonts w:ascii="Bookman Old Style" w:hAnsi="Bookman Old Style" w:cs="Arial"/>
        </w:rPr>
        <w:t xml:space="preserve"> se caractérisent entre autres par (i) une forte croissance démographique (3,9% au plan national</w:t>
      </w:r>
      <w:r w:rsidR="00920B79">
        <w:rPr>
          <w:rFonts w:ascii="Bookman Old Style" w:hAnsi="Bookman Old Style" w:cs="Arial"/>
        </w:rPr>
        <w:t xml:space="preserve">, </w:t>
      </w:r>
      <w:r w:rsidR="00920B79" w:rsidRPr="00920B79">
        <w:rPr>
          <w:rFonts w:ascii="Bookman Old Style" w:hAnsi="Bookman Old Style" w:cs="Arial"/>
        </w:rPr>
        <w:t>RGPH 2012</w:t>
      </w:r>
      <w:r w:rsidR="00B26AA5">
        <w:rPr>
          <w:rFonts w:ascii="Bookman Old Style" w:hAnsi="Bookman Old Style" w:cs="Arial"/>
        </w:rPr>
        <w:t xml:space="preserve">) et particulièrement dans </w:t>
      </w:r>
      <w:r w:rsidR="00D464B1">
        <w:rPr>
          <w:rFonts w:ascii="Bookman Old Style" w:hAnsi="Bookman Old Style" w:cs="Arial"/>
        </w:rPr>
        <w:t>la bande centre agropastorale</w:t>
      </w:r>
      <w:r w:rsidR="00B26AA5">
        <w:rPr>
          <w:rFonts w:ascii="Bookman Old Style" w:hAnsi="Bookman Old Style" w:cs="Arial"/>
        </w:rPr>
        <w:t xml:space="preserve"> et le sud agricole ; (ii) une production agricole essentiellement pluviale</w:t>
      </w:r>
      <w:r w:rsidR="00D464B1">
        <w:rPr>
          <w:rFonts w:ascii="Bookman Old Style" w:hAnsi="Bookman Old Style" w:cs="Arial"/>
        </w:rPr>
        <w:t xml:space="preserve"> et peu modernisée ; (iii) des sècheresses/inondations récurrentes dues aux effets du changement climatiques ; (iv) une baisse de fertilité des sols due aux pressions exercées sur les terres sans un apport adéquates en intrants ; etc.</w:t>
      </w:r>
      <w:r w:rsidR="00B26AA5">
        <w:rPr>
          <w:rFonts w:ascii="Bookman Old Style" w:hAnsi="Bookman Old Style" w:cs="Arial"/>
        </w:rPr>
        <w:t xml:space="preserve"> </w:t>
      </w:r>
      <w:r>
        <w:rPr>
          <w:rFonts w:ascii="Bookman Old Style" w:hAnsi="Bookman Old Style" w:cs="Arial"/>
        </w:rPr>
        <w:t xml:space="preserve">En effet, l’insécurité alimentaire et nutritionnelle est </w:t>
      </w:r>
      <w:r w:rsidR="00B26AA5">
        <w:rPr>
          <w:rFonts w:ascii="Bookman Old Style" w:hAnsi="Bookman Old Style" w:cs="Arial"/>
        </w:rPr>
        <w:t>devenue</w:t>
      </w:r>
      <w:r>
        <w:rPr>
          <w:rFonts w:ascii="Bookman Old Style" w:hAnsi="Bookman Old Style" w:cs="Arial"/>
        </w:rPr>
        <w:t xml:space="preserve"> structurelle et </w:t>
      </w:r>
      <w:r w:rsidR="00B26AA5">
        <w:rPr>
          <w:rFonts w:ascii="Bookman Old Style" w:hAnsi="Bookman Old Style" w:cs="Arial"/>
        </w:rPr>
        <w:t>un enjeu de souveraineté national.</w:t>
      </w:r>
      <w:r w:rsidR="006E6EC5">
        <w:rPr>
          <w:rFonts w:ascii="Bookman Old Style" w:hAnsi="Bookman Old Style" w:cs="Arial"/>
        </w:rPr>
        <w:t xml:space="preserve"> </w:t>
      </w:r>
    </w:p>
    <w:p w14:paraId="26FDA49B" w14:textId="279C63F7" w:rsidR="00FE1F11" w:rsidRDefault="006E6EC5" w:rsidP="007B5322">
      <w:pPr>
        <w:spacing w:before="240" w:line="276" w:lineRule="auto"/>
        <w:jc w:val="both"/>
        <w:rPr>
          <w:rFonts w:ascii="Bookman Old Style" w:hAnsi="Bookman Old Style" w:cs="Arial"/>
        </w:rPr>
      </w:pPr>
      <w:r>
        <w:rPr>
          <w:rFonts w:ascii="Bookman Old Style" w:hAnsi="Bookman Old Style" w:cs="Arial"/>
        </w:rPr>
        <w:t xml:space="preserve">Pour faire face aux </w:t>
      </w:r>
      <w:r w:rsidR="00920B79">
        <w:rPr>
          <w:rFonts w:ascii="Bookman Old Style" w:hAnsi="Bookman Old Style" w:cs="Arial"/>
        </w:rPr>
        <w:t>défis</w:t>
      </w:r>
      <w:r>
        <w:rPr>
          <w:rFonts w:ascii="Bookman Old Style" w:hAnsi="Bookman Old Style" w:cs="Arial"/>
        </w:rPr>
        <w:t xml:space="preserve"> de sécurité alimentaire et nutritionnelle, l’Etat du Niger et ses partenaires au développement fournissent beaucoup d’efforts afin </w:t>
      </w:r>
      <w:r>
        <w:rPr>
          <w:rFonts w:ascii="Bookman Old Style" w:hAnsi="Bookman Old Style" w:cs="Arial"/>
        </w:rPr>
        <w:lastRenderedPageBreak/>
        <w:t>d’atténuer les conséquences néfastes de l’insécurité alimentaire</w:t>
      </w:r>
      <w:r w:rsidR="00920B79">
        <w:rPr>
          <w:rFonts w:ascii="Bookman Old Style" w:hAnsi="Bookman Old Style" w:cs="Arial"/>
        </w:rPr>
        <w:t xml:space="preserve"> et nutritionnelle sur les ménages ruraux en particulier. Ainsi, divers politiques et stratégies sont mises en œuvre à cet effet</w:t>
      </w:r>
      <w:r w:rsidR="00E941B1">
        <w:rPr>
          <w:rFonts w:ascii="Bookman Old Style" w:hAnsi="Bookman Old Style" w:cs="Arial"/>
        </w:rPr>
        <w:t xml:space="preserve"> dont la</w:t>
      </w:r>
      <w:r w:rsidR="00920B79">
        <w:rPr>
          <w:rFonts w:ascii="Bookman Old Style" w:hAnsi="Bookman Old Style" w:cs="Arial"/>
        </w:rPr>
        <w:t xml:space="preserve"> </w:t>
      </w:r>
      <w:r w:rsidR="00E941B1" w:rsidRPr="00E941B1">
        <w:rPr>
          <w:rFonts w:ascii="Bookman Old Style" w:hAnsi="Bookman Old Style" w:cs="Arial"/>
        </w:rPr>
        <w:t xml:space="preserve">Stratégie Nationale pour la Sécurité Alimentaire et le Développement Agricole Durable </w:t>
      </w:r>
      <w:r w:rsidR="00E941B1">
        <w:rPr>
          <w:rFonts w:ascii="Bookman Old Style" w:hAnsi="Bookman Old Style" w:cs="Arial"/>
        </w:rPr>
        <w:t xml:space="preserve">opérationnalisée par l’initiative 3N </w:t>
      </w:r>
      <w:r w:rsidR="00E941B1" w:rsidRPr="00E941B1">
        <w:rPr>
          <w:rFonts w:ascii="Bookman Old Style" w:hAnsi="Bookman Old Style" w:cs="Arial"/>
        </w:rPr>
        <w:t>« les Nigériens Nourrissent les Nigériens »</w:t>
      </w:r>
      <w:r w:rsidR="00E941B1">
        <w:rPr>
          <w:rFonts w:ascii="Bookman Old Style" w:hAnsi="Bookman Old Style" w:cs="Arial"/>
        </w:rPr>
        <w:t xml:space="preserve"> avec comme objectif de </w:t>
      </w:r>
      <w:r w:rsidR="00E941B1" w:rsidRPr="007739CB">
        <w:rPr>
          <w:rFonts w:ascii="Bookman Old Style" w:hAnsi="Bookman Old Style"/>
        </w:rPr>
        <w:t>« Contribuer à mettre durablement les populations nigériennes à l’abri de la faim et de la malnutrition et leur garantir les conditions d’une pleine participation à la production nationale et à l’amélioration de leurs revenus ».</w:t>
      </w:r>
      <w:r w:rsidR="00E941B1">
        <w:rPr>
          <w:rFonts w:ascii="Bookman Old Style" w:hAnsi="Bookman Old Style" w:cs="Arial"/>
        </w:rPr>
        <w:t xml:space="preserve"> </w:t>
      </w:r>
    </w:p>
    <w:p w14:paraId="13450CBB" w14:textId="4343F5DC" w:rsidR="00BE5C2B" w:rsidRPr="007B5322" w:rsidRDefault="00B05FF9" w:rsidP="007B5322">
      <w:pPr>
        <w:spacing w:before="240" w:line="276" w:lineRule="auto"/>
        <w:jc w:val="both"/>
        <w:rPr>
          <w:rFonts w:ascii="Bookman Old Style" w:hAnsi="Bookman Old Style" w:cs="Arial"/>
        </w:rPr>
      </w:pPr>
      <w:r>
        <w:rPr>
          <w:rFonts w:ascii="Bookman Old Style" w:hAnsi="Bookman Old Style" w:cs="Arial"/>
        </w:rPr>
        <w:t xml:space="preserve">C’est en alignement à cette stratégie que </w:t>
      </w:r>
      <w:r w:rsidR="00234C0D" w:rsidRPr="007B5322">
        <w:rPr>
          <w:rFonts w:ascii="Bookman Old Style" w:hAnsi="Bookman Old Style" w:cs="Arial"/>
        </w:rPr>
        <w:t xml:space="preserve">le ProDAF a mis à l’échelle l’activité « Grenier Féminin de Soudure » </w:t>
      </w:r>
      <w:r w:rsidR="006C098D" w:rsidRPr="007B5322">
        <w:rPr>
          <w:rFonts w:ascii="Bookman Old Style" w:hAnsi="Bookman Old Style" w:cs="Arial"/>
        </w:rPr>
        <w:t xml:space="preserve">initié par le PASADEM </w:t>
      </w:r>
      <w:r w:rsidR="00234C0D" w:rsidRPr="007B5322">
        <w:rPr>
          <w:rFonts w:ascii="Bookman Old Style" w:hAnsi="Bookman Old Style" w:cs="Arial"/>
        </w:rPr>
        <w:t xml:space="preserve">au profit des </w:t>
      </w:r>
      <w:r w:rsidR="001A39C2" w:rsidRPr="007B5322">
        <w:rPr>
          <w:rFonts w:ascii="Bookman Old Style" w:hAnsi="Bookman Old Style" w:cs="Arial"/>
        </w:rPr>
        <w:t xml:space="preserve">ménages ruraux par l’entremise des </w:t>
      </w:r>
      <w:r w:rsidR="00234C0D" w:rsidRPr="007B5322">
        <w:rPr>
          <w:rFonts w:ascii="Bookman Old Style" w:hAnsi="Bookman Old Style" w:cs="Arial"/>
        </w:rPr>
        <w:t>groupements féminins MMD des villages d’intervention</w:t>
      </w:r>
      <w:r w:rsidRPr="00B05FF9">
        <w:rPr>
          <w:rFonts w:ascii="Bookman Old Style" w:hAnsi="Bookman Old Style" w:cs="Arial"/>
        </w:rPr>
        <w:t xml:space="preserve"> </w:t>
      </w:r>
      <w:r>
        <w:rPr>
          <w:rFonts w:ascii="Bookman Old Style" w:hAnsi="Bookman Old Style" w:cs="Arial"/>
        </w:rPr>
        <w:t>p</w:t>
      </w:r>
      <w:r w:rsidRPr="007B5322">
        <w:rPr>
          <w:rFonts w:ascii="Bookman Old Style" w:hAnsi="Bookman Old Style" w:cs="Arial"/>
        </w:rPr>
        <w:t>our améliorer la sécurité alimentaire et nutritionnelle des ménages ruraux</w:t>
      </w:r>
      <w:r w:rsidR="00234C0D" w:rsidRPr="007B5322">
        <w:rPr>
          <w:rFonts w:ascii="Bookman Old Style" w:hAnsi="Bookman Old Style" w:cs="Arial"/>
        </w:rPr>
        <w:t xml:space="preserve">. Cette activité consiste à la construction d’un magasin et la mise en place d’une dotation en vivre (mil) qui seront confiés </w:t>
      </w:r>
      <w:r w:rsidR="0049414E" w:rsidRPr="007B5322">
        <w:rPr>
          <w:rFonts w:ascii="Bookman Old Style" w:hAnsi="Bookman Old Style" w:cs="Arial"/>
        </w:rPr>
        <w:t>à un</w:t>
      </w:r>
      <w:r w:rsidR="00234C0D" w:rsidRPr="007B5322">
        <w:rPr>
          <w:rFonts w:ascii="Bookman Old Style" w:hAnsi="Bookman Old Style" w:cs="Arial"/>
        </w:rPr>
        <w:t xml:space="preserve"> COGES</w:t>
      </w:r>
      <w:r w:rsidR="0049414E" w:rsidRPr="007B5322">
        <w:rPr>
          <w:rFonts w:ascii="Bookman Old Style" w:hAnsi="Bookman Old Style" w:cs="Arial"/>
        </w:rPr>
        <w:t xml:space="preserve"> mis en place ou redynamisé</w:t>
      </w:r>
      <w:r w:rsidR="00234C0D" w:rsidRPr="007B5322">
        <w:rPr>
          <w:rFonts w:ascii="Bookman Old Style" w:hAnsi="Bookman Old Style" w:cs="Arial"/>
        </w:rPr>
        <w:t xml:space="preserve"> pour une gestion efficace et efficiente. Elle vise </w:t>
      </w:r>
      <w:r w:rsidR="003C24E1" w:rsidRPr="007B5322">
        <w:rPr>
          <w:rFonts w:ascii="Bookman Old Style" w:hAnsi="Bookman Old Style" w:cs="Arial"/>
        </w:rPr>
        <w:t xml:space="preserve">l’amélioration de la sécurité alimentaire et nutritionnelle des ménages ruraux pauvres surtout en période de soudure par la distribution en </w:t>
      </w:r>
      <w:r w:rsidR="009F2231" w:rsidRPr="007B5322">
        <w:rPr>
          <w:rFonts w:ascii="Bookman Old Style" w:hAnsi="Bookman Old Style" w:cs="Arial"/>
        </w:rPr>
        <w:t>plusieurs</w:t>
      </w:r>
      <w:r w:rsidR="003C24E1" w:rsidRPr="007B5322">
        <w:rPr>
          <w:rFonts w:ascii="Bookman Old Style" w:hAnsi="Bookman Old Style" w:cs="Arial"/>
        </w:rPr>
        <w:t xml:space="preserve"> phases des vivres aux membres et qu’</w:t>
      </w:r>
      <w:r w:rsidR="0049414E" w:rsidRPr="007B5322">
        <w:rPr>
          <w:rFonts w:ascii="Bookman Old Style" w:hAnsi="Bookman Old Style" w:cs="Arial"/>
        </w:rPr>
        <w:t>elles</w:t>
      </w:r>
      <w:r w:rsidR="003C24E1" w:rsidRPr="007B5322">
        <w:rPr>
          <w:rFonts w:ascii="Bookman Old Style" w:hAnsi="Bookman Old Style" w:cs="Arial"/>
        </w:rPr>
        <w:t xml:space="preserve"> remboursent en nature à la récolte avec un </w:t>
      </w:r>
      <w:r w:rsidR="0049414E" w:rsidRPr="007B5322">
        <w:rPr>
          <w:rFonts w:ascii="Bookman Old Style" w:hAnsi="Bookman Old Style" w:cs="Arial"/>
        </w:rPr>
        <w:t>taux de bonification</w:t>
      </w:r>
      <w:r w:rsidR="003C24E1" w:rsidRPr="007B5322">
        <w:rPr>
          <w:rFonts w:ascii="Bookman Old Style" w:hAnsi="Bookman Old Style" w:cs="Arial"/>
        </w:rPr>
        <w:t xml:space="preserve"> arrêté de commun accord. Cette approche </w:t>
      </w:r>
      <w:r w:rsidR="003F4245" w:rsidRPr="007B5322">
        <w:rPr>
          <w:rFonts w:ascii="Bookman Old Style" w:hAnsi="Bookman Old Style" w:cs="Arial"/>
        </w:rPr>
        <w:t xml:space="preserve">GFS </w:t>
      </w:r>
      <w:r w:rsidR="003C24E1" w:rsidRPr="007B5322">
        <w:rPr>
          <w:rFonts w:ascii="Bookman Old Style" w:hAnsi="Bookman Old Style" w:cs="Arial"/>
        </w:rPr>
        <w:t>est adoptée afin de permettre aux ménages ruraux l’exploitation optimale et à temps de leurs champs sans s</w:t>
      </w:r>
      <w:r w:rsidR="0049414E" w:rsidRPr="007B5322">
        <w:rPr>
          <w:rFonts w:ascii="Bookman Old Style" w:hAnsi="Bookman Old Style" w:cs="Arial"/>
        </w:rPr>
        <w:t>’a</w:t>
      </w:r>
      <w:r w:rsidR="003C24E1" w:rsidRPr="007B5322">
        <w:rPr>
          <w:rFonts w:ascii="Bookman Old Style" w:hAnsi="Bookman Old Style" w:cs="Arial"/>
        </w:rPr>
        <w:t>donner à la main d’œuvre agricole</w:t>
      </w:r>
      <w:r>
        <w:rPr>
          <w:rFonts w:ascii="Bookman Old Style" w:hAnsi="Bookman Old Style" w:cs="Arial"/>
        </w:rPr>
        <w:t xml:space="preserve"> ou au crédit usurier des commerçants véreux dont le remboursement est fait en nature (produits agricoles)</w:t>
      </w:r>
      <w:r w:rsidR="003C24E1" w:rsidRPr="007B5322">
        <w:rPr>
          <w:rFonts w:ascii="Bookman Old Style" w:hAnsi="Bookman Old Style" w:cs="Arial"/>
        </w:rPr>
        <w:t xml:space="preserve">. </w:t>
      </w:r>
    </w:p>
    <w:p w14:paraId="766382D2" w14:textId="77777777" w:rsidR="00D6711D" w:rsidRPr="007B5322" w:rsidRDefault="00D6711D" w:rsidP="00F1772C">
      <w:pPr>
        <w:spacing w:line="276" w:lineRule="auto"/>
        <w:rPr>
          <w:rFonts w:ascii="Bookman Old Style" w:hAnsi="Bookman Old Style"/>
        </w:rPr>
      </w:pPr>
    </w:p>
    <w:p w14:paraId="5D6DD229" w14:textId="6CA03513" w:rsidR="00D16800" w:rsidRPr="00596BE7" w:rsidRDefault="00D16800" w:rsidP="00F95F96">
      <w:pPr>
        <w:pStyle w:val="Paragraphedeliste"/>
        <w:numPr>
          <w:ilvl w:val="0"/>
          <w:numId w:val="3"/>
        </w:numPr>
        <w:spacing w:after="240" w:line="276" w:lineRule="auto"/>
        <w:outlineLvl w:val="0"/>
        <w:rPr>
          <w:rFonts w:ascii="Bookman Old Style" w:hAnsi="Bookman Old Style" w:cs="Arial"/>
          <w:b/>
        </w:rPr>
      </w:pPr>
      <w:bookmarkStart w:id="6" w:name="_Toc97822342"/>
      <w:r w:rsidRPr="00596BE7">
        <w:rPr>
          <w:rFonts w:ascii="Bookman Old Style" w:hAnsi="Bookman Old Style" w:cs="Arial"/>
          <w:b/>
        </w:rPr>
        <w:t xml:space="preserve">OBJECTIFS </w:t>
      </w:r>
      <w:r w:rsidR="00AC112C" w:rsidRPr="00596BE7">
        <w:rPr>
          <w:rFonts w:ascii="Bookman Old Style" w:hAnsi="Bookman Old Style" w:cs="Arial"/>
          <w:b/>
        </w:rPr>
        <w:t>DE L’ACTIVITE</w:t>
      </w:r>
      <w:bookmarkEnd w:id="6"/>
      <w:r w:rsidRPr="00596BE7">
        <w:rPr>
          <w:rFonts w:ascii="Bookman Old Style" w:hAnsi="Bookman Old Style" w:cs="Arial"/>
          <w:b/>
        </w:rPr>
        <w:t xml:space="preserve"> </w:t>
      </w:r>
    </w:p>
    <w:p w14:paraId="67755546" w14:textId="30A829EB" w:rsidR="00A54DA5" w:rsidRPr="007B5322" w:rsidRDefault="00A54DA5" w:rsidP="007B5322">
      <w:pPr>
        <w:spacing w:before="240" w:line="276" w:lineRule="auto"/>
        <w:jc w:val="both"/>
        <w:rPr>
          <w:rFonts w:ascii="Bookman Old Style" w:hAnsi="Bookman Old Style" w:cs="Arial"/>
        </w:rPr>
      </w:pPr>
      <w:r w:rsidRPr="007B5322">
        <w:rPr>
          <w:rFonts w:ascii="Bookman Old Style" w:hAnsi="Bookman Old Style" w:cs="Arial"/>
        </w:rPr>
        <w:t xml:space="preserve">L’objectif principal de cette </w:t>
      </w:r>
      <w:r w:rsidR="00DA61AB" w:rsidRPr="007B5322">
        <w:rPr>
          <w:rFonts w:ascii="Bookman Old Style" w:hAnsi="Bookman Old Style" w:cs="Arial"/>
        </w:rPr>
        <w:t xml:space="preserve">étude </w:t>
      </w:r>
      <w:r w:rsidRPr="007B5322">
        <w:rPr>
          <w:rFonts w:ascii="Bookman Old Style" w:hAnsi="Bookman Old Style" w:cs="Arial"/>
        </w:rPr>
        <w:t>est d’</w:t>
      </w:r>
      <w:r w:rsidR="00DA61AB" w:rsidRPr="007B5322">
        <w:rPr>
          <w:rFonts w:ascii="Bookman Old Style" w:hAnsi="Bookman Old Style" w:cs="Arial"/>
        </w:rPr>
        <w:t>évaluer</w:t>
      </w:r>
      <w:r w:rsidR="00E72764" w:rsidRPr="007B5322">
        <w:rPr>
          <w:rFonts w:ascii="Bookman Old Style" w:hAnsi="Bookman Old Style" w:cs="Arial"/>
        </w:rPr>
        <w:t xml:space="preserve"> la </w:t>
      </w:r>
      <w:r w:rsidR="00F67EEA" w:rsidRPr="007B5322">
        <w:rPr>
          <w:rFonts w:ascii="Bookman Old Style" w:hAnsi="Bookman Old Style" w:cs="Arial"/>
        </w:rPr>
        <w:t xml:space="preserve">contribution </w:t>
      </w:r>
      <w:r w:rsidRPr="007B5322">
        <w:rPr>
          <w:rFonts w:ascii="Bookman Old Style" w:hAnsi="Bookman Old Style" w:cs="Arial"/>
        </w:rPr>
        <w:t xml:space="preserve">de l’activité « Grenier Féminin de Soudure » dans </w:t>
      </w:r>
      <w:r w:rsidR="00F67EEA" w:rsidRPr="007B5322">
        <w:rPr>
          <w:rFonts w:ascii="Bookman Old Style" w:hAnsi="Bookman Old Style" w:cs="Arial"/>
        </w:rPr>
        <w:t>l’amélioration de la sécurité alimentaire et nutritionnelle ainsi que la résilience des ménages ruraux d</w:t>
      </w:r>
      <w:r w:rsidR="003F4245" w:rsidRPr="007B5322">
        <w:rPr>
          <w:rFonts w:ascii="Bookman Old Style" w:hAnsi="Bookman Old Style" w:cs="Arial"/>
        </w:rPr>
        <w:t>es</w:t>
      </w:r>
      <w:r w:rsidRPr="007B5322">
        <w:rPr>
          <w:rFonts w:ascii="Bookman Old Style" w:hAnsi="Bookman Old Style" w:cs="Arial"/>
        </w:rPr>
        <w:t xml:space="preserve"> région</w:t>
      </w:r>
      <w:r w:rsidR="003F4245" w:rsidRPr="007B5322">
        <w:rPr>
          <w:rFonts w:ascii="Bookman Old Style" w:hAnsi="Bookman Old Style" w:cs="Arial"/>
        </w:rPr>
        <w:t>s</w:t>
      </w:r>
      <w:r w:rsidRPr="007B5322">
        <w:rPr>
          <w:rFonts w:ascii="Bookman Old Style" w:hAnsi="Bookman Old Style" w:cs="Arial"/>
        </w:rPr>
        <w:t xml:space="preserve"> de Tahoua</w:t>
      </w:r>
      <w:r w:rsidR="003F4245" w:rsidRPr="007B5322">
        <w:rPr>
          <w:rFonts w:ascii="Bookman Old Style" w:hAnsi="Bookman Old Style" w:cs="Arial"/>
        </w:rPr>
        <w:t>, Maradi et Zinder</w:t>
      </w:r>
      <w:r w:rsidRPr="007B5322">
        <w:rPr>
          <w:rFonts w:ascii="Bookman Old Style" w:hAnsi="Bookman Old Style" w:cs="Arial"/>
        </w:rPr>
        <w:t xml:space="preserve">. </w:t>
      </w:r>
    </w:p>
    <w:p w14:paraId="76CB9D97" w14:textId="1B555D5C" w:rsidR="007E10C0" w:rsidRPr="007B5322" w:rsidRDefault="00A54DA5" w:rsidP="007B5322">
      <w:pPr>
        <w:spacing w:before="240" w:line="276" w:lineRule="auto"/>
        <w:jc w:val="both"/>
        <w:rPr>
          <w:rFonts w:ascii="Bookman Old Style" w:hAnsi="Bookman Old Style" w:cs="Arial"/>
        </w:rPr>
      </w:pPr>
      <w:r w:rsidRPr="007B5322">
        <w:rPr>
          <w:rFonts w:ascii="Bookman Old Style" w:hAnsi="Bookman Old Style" w:cs="Arial"/>
        </w:rPr>
        <w:t>De</w:t>
      </w:r>
      <w:r w:rsidR="00560453" w:rsidRPr="007B5322">
        <w:rPr>
          <w:rFonts w:ascii="Bookman Old Style" w:hAnsi="Bookman Old Style" w:cs="Arial"/>
        </w:rPr>
        <w:t xml:space="preserve"> façon s</w:t>
      </w:r>
      <w:r w:rsidR="001755F4" w:rsidRPr="007B5322">
        <w:rPr>
          <w:rFonts w:ascii="Bookman Old Style" w:hAnsi="Bookman Old Style" w:cs="Arial"/>
        </w:rPr>
        <w:t xml:space="preserve">pécifiques, il s’agit </w:t>
      </w:r>
      <w:r w:rsidR="00560453" w:rsidRPr="007B5322">
        <w:rPr>
          <w:rFonts w:ascii="Bookman Old Style" w:hAnsi="Bookman Old Style" w:cs="Arial"/>
        </w:rPr>
        <w:t>de :</w:t>
      </w:r>
    </w:p>
    <w:p w14:paraId="265E68D0" w14:textId="779ADED8" w:rsidR="004D35C0" w:rsidRPr="007B5322" w:rsidRDefault="004D35C0" w:rsidP="007B5322">
      <w:pPr>
        <w:pStyle w:val="Paragraphedeliste"/>
        <w:numPr>
          <w:ilvl w:val="0"/>
          <w:numId w:val="29"/>
        </w:numPr>
        <w:spacing w:before="240" w:line="276" w:lineRule="auto"/>
        <w:jc w:val="both"/>
        <w:rPr>
          <w:rFonts w:ascii="Bookman Old Style" w:hAnsi="Bookman Old Style" w:cs="Arial"/>
        </w:rPr>
      </w:pPr>
      <w:r w:rsidRPr="007B5322">
        <w:rPr>
          <w:rFonts w:ascii="Bookman Old Style" w:hAnsi="Bookman Old Style" w:cs="Arial"/>
        </w:rPr>
        <w:t>Evaluer les quantités des vivres vendus</w:t>
      </w:r>
      <w:r w:rsidR="003D3654" w:rsidRPr="007B5322">
        <w:rPr>
          <w:rFonts w:ascii="Bookman Old Style" w:hAnsi="Bookman Old Style" w:cs="Arial"/>
        </w:rPr>
        <w:t>/</w:t>
      </w:r>
      <w:r w:rsidRPr="007B5322">
        <w:rPr>
          <w:rFonts w:ascii="Bookman Old Style" w:hAnsi="Bookman Old Style" w:cs="Arial"/>
        </w:rPr>
        <w:t>distribués par village ;</w:t>
      </w:r>
    </w:p>
    <w:p w14:paraId="20167891" w14:textId="2347BF7F" w:rsidR="000D056A" w:rsidRPr="007B5322" w:rsidRDefault="00842D58" w:rsidP="007B5322">
      <w:pPr>
        <w:pStyle w:val="Paragraphedeliste"/>
        <w:numPr>
          <w:ilvl w:val="0"/>
          <w:numId w:val="29"/>
        </w:numPr>
        <w:spacing w:before="240" w:line="276" w:lineRule="auto"/>
        <w:jc w:val="both"/>
        <w:rPr>
          <w:rFonts w:ascii="Bookman Old Style" w:hAnsi="Bookman Old Style" w:cs="Arial"/>
        </w:rPr>
      </w:pPr>
      <w:r w:rsidRPr="007B5322">
        <w:rPr>
          <w:rFonts w:ascii="Bookman Old Style" w:hAnsi="Bookman Old Style" w:cs="Arial"/>
        </w:rPr>
        <w:t xml:space="preserve">Evaluer </w:t>
      </w:r>
      <w:r w:rsidR="000D056A" w:rsidRPr="007B5322">
        <w:rPr>
          <w:rFonts w:ascii="Bookman Old Style" w:hAnsi="Bookman Old Style" w:cs="Arial"/>
        </w:rPr>
        <w:t>la période moyenne couverte par les vivres distribués</w:t>
      </w:r>
      <w:r w:rsidR="00E72764" w:rsidRPr="007B5322">
        <w:rPr>
          <w:rFonts w:ascii="Bookman Old Style" w:hAnsi="Bookman Old Style" w:cs="Arial"/>
        </w:rPr>
        <w:t xml:space="preserve">/achetés par les </w:t>
      </w:r>
      <w:r w:rsidR="000D056A" w:rsidRPr="007B5322">
        <w:rPr>
          <w:rFonts w:ascii="Bookman Old Style" w:hAnsi="Bookman Old Style" w:cs="Arial"/>
        </w:rPr>
        <w:t>membres </w:t>
      </w:r>
      <w:r w:rsidR="00990F68" w:rsidRPr="007B5322">
        <w:rPr>
          <w:rFonts w:ascii="Bookman Old Style" w:hAnsi="Bookman Old Style" w:cs="Arial"/>
        </w:rPr>
        <w:t xml:space="preserve">du GFS </w:t>
      </w:r>
      <w:r w:rsidR="000D056A" w:rsidRPr="007B5322">
        <w:rPr>
          <w:rFonts w:ascii="Bookman Old Style" w:hAnsi="Bookman Old Style" w:cs="Arial"/>
        </w:rPr>
        <w:t>;</w:t>
      </w:r>
    </w:p>
    <w:p w14:paraId="22619435" w14:textId="128A2D4D" w:rsidR="000D056A" w:rsidRPr="007B5322" w:rsidRDefault="00842D58" w:rsidP="007B5322">
      <w:pPr>
        <w:pStyle w:val="Paragraphedeliste"/>
        <w:numPr>
          <w:ilvl w:val="0"/>
          <w:numId w:val="29"/>
        </w:numPr>
        <w:spacing w:before="240" w:line="276" w:lineRule="auto"/>
        <w:jc w:val="both"/>
        <w:rPr>
          <w:rFonts w:ascii="Bookman Old Style" w:hAnsi="Bookman Old Style" w:cs="Arial"/>
        </w:rPr>
      </w:pPr>
      <w:r w:rsidRPr="007B5322">
        <w:rPr>
          <w:rFonts w:ascii="Bookman Old Style" w:hAnsi="Bookman Old Style" w:cs="Arial"/>
        </w:rPr>
        <w:t>Evaluer la fonctionnalité des COGES</w:t>
      </w:r>
      <w:r w:rsidR="0019538C" w:rsidRPr="007B5322">
        <w:rPr>
          <w:rFonts w:ascii="Bookman Old Style" w:hAnsi="Bookman Old Style" w:cs="Arial"/>
        </w:rPr>
        <w:t xml:space="preserve"> de GFS</w:t>
      </w:r>
      <w:r w:rsidRPr="007B5322">
        <w:rPr>
          <w:rFonts w:ascii="Bookman Old Style" w:hAnsi="Bookman Old Style" w:cs="Arial"/>
        </w:rPr>
        <w:t> ;</w:t>
      </w:r>
      <w:r w:rsidR="009D05EE" w:rsidRPr="007B5322">
        <w:rPr>
          <w:rFonts w:ascii="Bookman Old Style" w:hAnsi="Bookman Old Style" w:cs="Arial"/>
        </w:rPr>
        <w:t xml:space="preserve"> </w:t>
      </w:r>
    </w:p>
    <w:p w14:paraId="4316F112" w14:textId="266E1CC5" w:rsidR="00990F68" w:rsidRPr="007B5322" w:rsidRDefault="00990F68" w:rsidP="007B5322">
      <w:pPr>
        <w:pStyle w:val="Paragraphedeliste"/>
        <w:numPr>
          <w:ilvl w:val="0"/>
          <w:numId w:val="29"/>
        </w:numPr>
        <w:spacing w:before="240" w:line="276" w:lineRule="auto"/>
        <w:jc w:val="both"/>
        <w:rPr>
          <w:rFonts w:ascii="Bookman Old Style" w:hAnsi="Bookman Old Style" w:cs="Arial"/>
        </w:rPr>
      </w:pPr>
      <w:r w:rsidRPr="007B5322">
        <w:rPr>
          <w:rFonts w:ascii="Bookman Old Style" w:hAnsi="Bookman Old Style" w:cs="Arial"/>
        </w:rPr>
        <w:t>Apprécier le</w:t>
      </w:r>
      <w:r w:rsidR="00842D58" w:rsidRPr="007B5322">
        <w:rPr>
          <w:rFonts w:ascii="Bookman Old Style" w:hAnsi="Bookman Old Style" w:cs="Arial"/>
        </w:rPr>
        <w:t>s effets de GFS sur</w:t>
      </w:r>
      <w:r w:rsidRPr="007B5322">
        <w:rPr>
          <w:rFonts w:ascii="Bookman Old Style" w:hAnsi="Bookman Old Style" w:cs="Arial"/>
        </w:rPr>
        <w:t xml:space="preserve"> </w:t>
      </w:r>
      <w:r w:rsidR="003D3654" w:rsidRPr="007B5322">
        <w:rPr>
          <w:rFonts w:ascii="Bookman Old Style" w:hAnsi="Bookman Old Style" w:cs="Arial"/>
        </w:rPr>
        <w:t xml:space="preserve">le </w:t>
      </w:r>
      <w:r w:rsidRPr="007B5322">
        <w:rPr>
          <w:rFonts w:ascii="Bookman Old Style" w:hAnsi="Bookman Old Style" w:cs="Arial"/>
        </w:rPr>
        <w:t xml:space="preserve">recours à la main d’œuvre agricole </w:t>
      </w:r>
      <w:r w:rsidR="00A04A43" w:rsidRPr="007B5322">
        <w:rPr>
          <w:rFonts w:ascii="Bookman Old Style" w:hAnsi="Bookman Old Style" w:cs="Arial"/>
        </w:rPr>
        <w:t>et/ou au crédit par l</w:t>
      </w:r>
      <w:r w:rsidRPr="007B5322">
        <w:rPr>
          <w:rFonts w:ascii="Bookman Old Style" w:hAnsi="Bookman Old Style" w:cs="Arial"/>
        </w:rPr>
        <w:t>es membres du GFS ;</w:t>
      </w:r>
    </w:p>
    <w:p w14:paraId="2F53596A" w14:textId="54319B9F" w:rsidR="009D05EE" w:rsidRPr="007B5322" w:rsidRDefault="009D05EE" w:rsidP="007B5322">
      <w:pPr>
        <w:pStyle w:val="Paragraphedeliste"/>
        <w:numPr>
          <w:ilvl w:val="0"/>
          <w:numId w:val="29"/>
        </w:numPr>
        <w:spacing w:before="240" w:line="276" w:lineRule="auto"/>
        <w:jc w:val="both"/>
        <w:rPr>
          <w:rFonts w:ascii="Bookman Old Style" w:hAnsi="Bookman Old Style" w:cs="Arial"/>
        </w:rPr>
      </w:pPr>
      <w:r w:rsidRPr="007B5322">
        <w:rPr>
          <w:rFonts w:ascii="Bookman Old Style" w:hAnsi="Bookman Old Style" w:cs="Arial"/>
        </w:rPr>
        <w:lastRenderedPageBreak/>
        <w:t>Apprécier l’effort de renouvellement de stock initial ;</w:t>
      </w:r>
    </w:p>
    <w:p w14:paraId="38F574A6" w14:textId="77777777" w:rsidR="00DA79F9" w:rsidRPr="007B5322" w:rsidRDefault="00DA79F9" w:rsidP="00DA79F9">
      <w:pPr>
        <w:pStyle w:val="Paragraphedeliste"/>
        <w:numPr>
          <w:ilvl w:val="0"/>
          <w:numId w:val="29"/>
        </w:numPr>
        <w:spacing w:before="240" w:line="276" w:lineRule="auto"/>
        <w:jc w:val="both"/>
        <w:rPr>
          <w:rFonts w:ascii="Bookman Old Style" w:hAnsi="Bookman Old Style" w:cs="Arial"/>
        </w:rPr>
      </w:pPr>
      <w:r w:rsidRPr="007B5322">
        <w:rPr>
          <w:rFonts w:ascii="Bookman Old Style" w:hAnsi="Bookman Old Style" w:cs="Arial"/>
        </w:rPr>
        <w:t>Recueillir les appréciations des bénéficiaires par rapport à la gestion des stocks ;</w:t>
      </w:r>
    </w:p>
    <w:p w14:paraId="0DC0D8AF" w14:textId="3ECACFED" w:rsidR="00E66406" w:rsidRPr="007B5322" w:rsidRDefault="00990F68" w:rsidP="007B5322">
      <w:pPr>
        <w:pStyle w:val="Paragraphedeliste"/>
        <w:numPr>
          <w:ilvl w:val="0"/>
          <w:numId w:val="29"/>
        </w:numPr>
        <w:spacing w:before="240" w:line="276" w:lineRule="auto"/>
        <w:jc w:val="both"/>
        <w:rPr>
          <w:rFonts w:ascii="Bookman Old Style" w:hAnsi="Bookman Old Style" w:cs="Arial"/>
        </w:rPr>
      </w:pPr>
      <w:r w:rsidRPr="007B5322">
        <w:rPr>
          <w:rFonts w:ascii="Bookman Old Style" w:hAnsi="Bookman Old Style" w:cs="Arial"/>
        </w:rPr>
        <w:t xml:space="preserve">Analyser les </w:t>
      </w:r>
      <w:r w:rsidR="00B25EA3" w:rsidRPr="007B5322">
        <w:rPr>
          <w:rFonts w:ascii="Bookman Old Style" w:hAnsi="Bookman Old Style" w:cs="Arial"/>
        </w:rPr>
        <w:t xml:space="preserve">procédures </w:t>
      </w:r>
      <w:r w:rsidRPr="007B5322">
        <w:rPr>
          <w:rFonts w:ascii="Bookman Old Style" w:hAnsi="Bookman Old Style" w:cs="Arial"/>
        </w:rPr>
        <w:t xml:space="preserve">et </w:t>
      </w:r>
      <w:r w:rsidR="00B25EA3" w:rsidRPr="007B5322">
        <w:rPr>
          <w:rFonts w:ascii="Bookman Old Style" w:hAnsi="Bookman Old Style" w:cs="Arial"/>
        </w:rPr>
        <w:t xml:space="preserve">perspectives </w:t>
      </w:r>
      <w:r w:rsidRPr="007B5322">
        <w:rPr>
          <w:rFonts w:ascii="Bookman Old Style" w:hAnsi="Bookman Old Style" w:cs="Arial"/>
        </w:rPr>
        <w:t>de reconstitution des stocks</w:t>
      </w:r>
      <w:r w:rsidR="00E66406" w:rsidRPr="007B5322">
        <w:rPr>
          <w:rFonts w:ascii="Bookman Old Style" w:hAnsi="Bookman Old Style" w:cs="Arial"/>
        </w:rPr>
        <w:t> ;</w:t>
      </w:r>
    </w:p>
    <w:p w14:paraId="107269C1" w14:textId="77FF52DB" w:rsidR="00990F68" w:rsidRPr="007B5322" w:rsidRDefault="00E66406" w:rsidP="007B5322">
      <w:pPr>
        <w:pStyle w:val="Paragraphedeliste"/>
        <w:numPr>
          <w:ilvl w:val="0"/>
          <w:numId w:val="29"/>
        </w:numPr>
        <w:spacing w:before="240" w:line="276" w:lineRule="auto"/>
        <w:jc w:val="both"/>
        <w:rPr>
          <w:rFonts w:ascii="Bookman Old Style" w:hAnsi="Bookman Old Style" w:cs="Arial"/>
        </w:rPr>
      </w:pPr>
      <w:r w:rsidRPr="007B5322">
        <w:rPr>
          <w:rFonts w:ascii="Bookman Old Style" w:hAnsi="Bookman Old Style" w:cs="Arial"/>
        </w:rPr>
        <w:t>Recueillir les difficultés rencontr</w:t>
      </w:r>
      <w:r w:rsidR="00B25EA3" w:rsidRPr="007B5322">
        <w:rPr>
          <w:rFonts w:ascii="Bookman Old Style" w:hAnsi="Bookman Old Style" w:cs="Arial"/>
        </w:rPr>
        <w:t>é</w:t>
      </w:r>
      <w:r w:rsidRPr="007B5322">
        <w:rPr>
          <w:rFonts w:ascii="Bookman Old Style" w:hAnsi="Bookman Old Style" w:cs="Arial"/>
        </w:rPr>
        <w:t xml:space="preserve">es dans la gestion du GFS et les solutions </w:t>
      </w:r>
      <w:r w:rsidR="00B91845" w:rsidRPr="007B5322">
        <w:rPr>
          <w:rFonts w:ascii="Bookman Old Style" w:hAnsi="Bookman Old Style" w:cs="Arial"/>
        </w:rPr>
        <w:t xml:space="preserve">apportées </w:t>
      </w:r>
      <w:r w:rsidRPr="007B5322">
        <w:rPr>
          <w:rFonts w:ascii="Bookman Old Style" w:hAnsi="Bookman Old Style" w:cs="Arial"/>
        </w:rPr>
        <w:t>à l’interne et proposer des recommandations en vue d’amélioration du dispositif GFS.</w:t>
      </w:r>
    </w:p>
    <w:p w14:paraId="65FD9F1E" w14:textId="29DBF138" w:rsidR="00E749B8" w:rsidRPr="007B5322" w:rsidRDefault="00E749B8" w:rsidP="00DC41A2">
      <w:pPr>
        <w:spacing w:line="276" w:lineRule="auto"/>
        <w:jc w:val="both"/>
        <w:rPr>
          <w:rFonts w:ascii="Bookman Old Style" w:hAnsi="Bookman Old Style"/>
        </w:rPr>
      </w:pPr>
    </w:p>
    <w:p w14:paraId="0BE06985" w14:textId="612BEF6B" w:rsidR="006341AD" w:rsidRPr="006341AD" w:rsidRDefault="006341AD" w:rsidP="00F95F96">
      <w:pPr>
        <w:pStyle w:val="Paragraphedeliste"/>
        <w:numPr>
          <w:ilvl w:val="0"/>
          <w:numId w:val="3"/>
        </w:numPr>
        <w:spacing w:after="240" w:line="276" w:lineRule="auto"/>
        <w:outlineLvl w:val="0"/>
        <w:rPr>
          <w:rFonts w:ascii="Bookman Old Style" w:hAnsi="Bookman Old Style" w:cs="Arial"/>
          <w:b/>
        </w:rPr>
      </w:pPr>
      <w:bookmarkStart w:id="7" w:name="_Toc97822343"/>
      <w:r w:rsidRPr="006341AD">
        <w:rPr>
          <w:rFonts w:ascii="Bookman Old Style" w:hAnsi="Bookman Old Style" w:cs="Arial"/>
          <w:b/>
        </w:rPr>
        <w:t>METHODOLOGIE</w:t>
      </w:r>
      <w:bookmarkEnd w:id="7"/>
    </w:p>
    <w:p w14:paraId="3B3CBDA7" w14:textId="77777777" w:rsidR="006341AD" w:rsidRPr="007B5322" w:rsidRDefault="006341AD" w:rsidP="007B5322">
      <w:pPr>
        <w:spacing w:before="240" w:line="276" w:lineRule="auto"/>
        <w:jc w:val="both"/>
        <w:rPr>
          <w:rFonts w:ascii="Bookman Old Style" w:hAnsi="Bookman Old Style" w:cs="Arial"/>
        </w:rPr>
      </w:pPr>
      <w:r w:rsidRPr="007B5322">
        <w:rPr>
          <w:rFonts w:ascii="Bookman Old Style" w:hAnsi="Bookman Old Style" w:cs="Arial"/>
        </w:rPr>
        <w:t>Cette partie présente la manière dont l’étude doit être menée. Elle comprend entre autres : la revue documentaire, les outils de collecte des données, la collecte des données sur le terrain, le traitement, analyse des données et rédaction du rapport et le chronogramme des activités.</w:t>
      </w:r>
    </w:p>
    <w:p w14:paraId="24447B33" w14:textId="2DE15500" w:rsidR="006341AD" w:rsidRDefault="006341AD" w:rsidP="007B5322">
      <w:pPr>
        <w:spacing w:before="240" w:line="276" w:lineRule="auto"/>
        <w:jc w:val="both"/>
        <w:rPr>
          <w:rFonts w:ascii="Bookman Old Style" w:hAnsi="Bookman Old Style" w:cs="Arial"/>
        </w:rPr>
      </w:pPr>
      <w:r w:rsidRPr="007B5322">
        <w:rPr>
          <w:rFonts w:ascii="Bookman Old Style" w:hAnsi="Bookman Old Style" w:cs="Arial"/>
        </w:rPr>
        <w:t xml:space="preserve">Pour la réalisation de ce travail une équipe composée de deux personnes </w:t>
      </w:r>
      <w:r w:rsidR="00E078ED">
        <w:rPr>
          <w:rFonts w:ascii="Bookman Old Style" w:hAnsi="Bookman Old Style" w:cs="Arial"/>
        </w:rPr>
        <w:t>a été</w:t>
      </w:r>
      <w:r w:rsidR="00E078ED" w:rsidRPr="007B5322">
        <w:rPr>
          <w:rFonts w:ascii="Bookman Old Style" w:hAnsi="Bookman Old Style" w:cs="Arial"/>
        </w:rPr>
        <w:t xml:space="preserve"> </w:t>
      </w:r>
      <w:r w:rsidRPr="007B5322">
        <w:rPr>
          <w:rFonts w:ascii="Bookman Old Style" w:hAnsi="Bookman Old Style" w:cs="Arial"/>
        </w:rPr>
        <w:t xml:space="preserve">mobilisée. L’ATN Sociologue </w:t>
      </w:r>
      <w:r w:rsidR="00E078ED">
        <w:rPr>
          <w:rFonts w:ascii="Bookman Old Style" w:hAnsi="Bookman Old Style" w:cs="Arial"/>
        </w:rPr>
        <w:t xml:space="preserve">a </w:t>
      </w:r>
      <w:r w:rsidRPr="007B5322">
        <w:rPr>
          <w:rFonts w:ascii="Bookman Old Style" w:hAnsi="Bookman Old Style" w:cs="Arial"/>
        </w:rPr>
        <w:t>coordonn</w:t>
      </w:r>
      <w:r w:rsidR="00E078ED">
        <w:rPr>
          <w:rFonts w:ascii="Bookman Old Style" w:hAnsi="Bookman Old Style" w:cs="Arial"/>
        </w:rPr>
        <w:t>é</w:t>
      </w:r>
      <w:r w:rsidRPr="007B5322">
        <w:rPr>
          <w:rFonts w:ascii="Bookman Old Style" w:hAnsi="Bookman Old Style" w:cs="Arial"/>
        </w:rPr>
        <w:t xml:space="preserve"> toutes les activités. Il élabore les TDR et l’ensemble des outils de collecte de données qu’il soumettra à la validation de la CENRAT et URGP. Il </w:t>
      </w:r>
      <w:r w:rsidR="00E078ED">
        <w:rPr>
          <w:rFonts w:ascii="Bookman Old Style" w:hAnsi="Bookman Old Style" w:cs="Arial"/>
        </w:rPr>
        <w:t xml:space="preserve">a </w:t>
      </w:r>
      <w:r w:rsidRPr="007B5322">
        <w:rPr>
          <w:rFonts w:ascii="Bookman Old Style" w:hAnsi="Bookman Old Style" w:cs="Arial"/>
        </w:rPr>
        <w:t>supervis</w:t>
      </w:r>
      <w:r w:rsidR="00E078ED">
        <w:rPr>
          <w:rFonts w:ascii="Bookman Old Style" w:hAnsi="Bookman Old Style" w:cs="Arial"/>
        </w:rPr>
        <w:t>é</w:t>
      </w:r>
      <w:r w:rsidRPr="007B5322">
        <w:rPr>
          <w:rFonts w:ascii="Bookman Old Style" w:hAnsi="Bookman Old Style" w:cs="Arial"/>
        </w:rPr>
        <w:t xml:space="preserve"> la collecte des données et s’en charge de traitement des données et la rédaction du rapport. L’Informaticien de la CENRAT se chargera de l’enregistrement des outils de collecte dans les tablettes et facilitera la formation des enquêteurs sur la collecte des données sur des tablettes. Ce dernier participera également à la supervision des enquêteurs sur le terrain pour corriger les insuffisances et améliorer la prise en main de l’outil.</w:t>
      </w:r>
    </w:p>
    <w:p w14:paraId="08134461" w14:textId="77777777" w:rsidR="001815C2" w:rsidRPr="007B5322" w:rsidRDefault="001815C2" w:rsidP="001815C2">
      <w:pPr>
        <w:spacing w:line="276" w:lineRule="auto"/>
        <w:jc w:val="both"/>
        <w:rPr>
          <w:rFonts w:ascii="Bookman Old Style" w:hAnsi="Bookman Old Style" w:cs="Arial"/>
        </w:rPr>
      </w:pPr>
    </w:p>
    <w:p w14:paraId="72370A99" w14:textId="25131267" w:rsidR="006341AD" w:rsidRPr="006C4F77" w:rsidRDefault="006341AD" w:rsidP="001815C2">
      <w:pPr>
        <w:pStyle w:val="Paragraphedeliste"/>
        <w:numPr>
          <w:ilvl w:val="1"/>
          <w:numId w:val="3"/>
        </w:numPr>
        <w:tabs>
          <w:tab w:val="left" w:pos="4402"/>
        </w:tabs>
        <w:spacing w:after="240" w:line="276" w:lineRule="auto"/>
        <w:jc w:val="both"/>
        <w:outlineLvl w:val="1"/>
        <w:rPr>
          <w:rFonts w:ascii="Bookman Old Style" w:hAnsi="Bookman Old Style" w:cs="Arial"/>
          <w:b/>
          <w:bCs/>
        </w:rPr>
      </w:pPr>
      <w:bookmarkStart w:id="8" w:name="_Toc97822344"/>
      <w:r w:rsidRPr="006C4F77">
        <w:rPr>
          <w:rFonts w:ascii="Bookman Old Style" w:hAnsi="Bookman Old Style" w:cs="Arial"/>
          <w:b/>
          <w:bCs/>
        </w:rPr>
        <w:t>Revue documentaire</w:t>
      </w:r>
      <w:bookmarkEnd w:id="8"/>
      <w:r w:rsidRPr="006C4F77">
        <w:rPr>
          <w:rFonts w:ascii="Bookman Old Style" w:hAnsi="Bookman Old Style" w:cs="Arial"/>
          <w:b/>
          <w:bCs/>
        </w:rPr>
        <w:t xml:space="preserve"> </w:t>
      </w:r>
    </w:p>
    <w:p w14:paraId="449E7CD4" w14:textId="5A343B9C" w:rsidR="006341AD" w:rsidRDefault="006341AD" w:rsidP="007B5322">
      <w:pPr>
        <w:spacing w:before="240" w:line="276" w:lineRule="auto"/>
        <w:jc w:val="both"/>
        <w:rPr>
          <w:rFonts w:ascii="Bookman Old Style" w:hAnsi="Bookman Old Style" w:cs="Arial"/>
        </w:rPr>
      </w:pPr>
      <w:r w:rsidRPr="007B5322">
        <w:rPr>
          <w:rFonts w:ascii="Bookman Old Style" w:hAnsi="Bookman Old Style" w:cs="Arial"/>
        </w:rPr>
        <w:t xml:space="preserve">Pour bien cadrer l’étude une lecture analytique des documents du ProDAF MTZ </w:t>
      </w:r>
      <w:r w:rsidR="00E078ED">
        <w:rPr>
          <w:rFonts w:ascii="Bookman Old Style" w:hAnsi="Bookman Old Style" w:cs="Arial"/>
        </w:rPr>
        <w:t xml:space="preserve">a </w:t>
      </w:r>
      <w:proofErr w:type="gramStart"/>
      <w:r w:rsidR="00E078ED">
        <w:rPr>
          <w:rFonts w:ascii="Bookman Old Style" w:hAnsi="Bookman Old Style" w:cs="Arial"/>
        </w:rPr>
        <w:t xml:space="preserve">été </w:t>
      </w:r>
      <w:r w:rsidR="00E078ED" w:rsidRPr="007B5322">
        <w:rPr>
          <w:rFonts w:ascii="Bookman Old Style" w:hAnsi="Bookman Old Style" w:cs="Arial"/>
        </w:rPr>
        <w:t xml:space="preserve"> </w:t>
      </w:r>
      <w:r w:rsidRPr="007B5322">
        <w:rPr>
          <w:rFonts w:ascii="Bookman Old Style" w:hAnsi="Bookman Old Style" w:cs="Arial"/>
        </w:rPr>
        <w:t>nécessaire</w:t>
      </w:r>
      <w:proofErr w:type="gramEnd"/>
      <w:r w:rsidRPr="007B5322">
        <w:rPr>
          <w:rFonts w:ascii="Bookman Old Style" w:hAnsi="Bookman Old Style" w:cs="Arial"/>
        </w:rPr>
        <w:t xml:space="preserve"> notamment le Document de Conception de Projet, le cadre logique et les indicateurs, les rapports d’étude de référence, d’activités des URGP et des partenaires de mise en œuvre, de notes méthodologiques et de capitalisation, etc. Cette lecture </w:t>
      </w:r>
      <w:r w:rsidR="00E078ED">
        <w:rPr>
          <w:rFonts w:ascii="Bookman Old Style" w:hAnsi="Bookman Old Style" w:cs="Arial"/>
        </w:rPr>
        <w:t xml:space="preserve">a </w:t>
      </w:r>
      <w:r w:rsidRPr="007B5322">
        <w:rPr>
          <w:rFonts w:ascii="Bookman Old Style" w:hAnsi="Bookman Old Style" w:cs="Arial"/>
        </w:rPr>
        <w:t>perm</w:t>
      </w:r>
      <w:r w:rsidR="00E078ED">
        <w:rPr>
          <w:rFonts w:ascii="Bookman Old Style" w:hAnsi="Bookman Old Style" w:cs="Arial"/>
        </w:rPr>
        <w:t>is</w:t>
      </w:r>
      <w:r w:rsidRPr="007B5322">
        <w:rPr>
          <w:rFonts w:ascii="Bookman Old Style" w:hAnsi="Bookman Old Style" w:cs="Arial"/>
        </w:rPr>
        <w:t xml:space="preserve"> de collecter beaucoup d’informations déjà existantes au niveau des URGP et de la CENRAT et qui </w:t>
      </w:r>
      <w:r w:rsidR="00E078ED">
        <w:rPr>
          <w:rFonts w:ascii="Bookman Old Style" w:hAnsi="Bookman Old Style" w:cs="Arial"/>
        </w:rPr>
        <w:t xml:space="preserve">ont </w:t>
      </w:r>
      <w:r w:rsidR="00E078ED" w:rsidRPr="007B5322">
        <w:rPr>
          <w:rFonts w:ascii="Bookman Old Style" w:hAnsi="Bookman Old Style" w:cs="Arial"/>
        </w:rPr>
        <w:t xml:space="preserve">t </w:t>
      </w:r>
      <w:r w:rsidRPr="007B5322">
        <w:rPr>
          <w:rFonts w:ascii="Bookman Old Style" w:hAnsi="Bookman Old Style" w:cs="Arial"/>
        </w:rPr>
        <w:t>aliment</w:t>
      </w:r>
      <w:r w:rsidR="00E078ED">
        <w:rPr>
          <w:rFonts w:ascii="Bookman Old Style" w:hAnsi="Bookman Old Style" w:cs="Arial"/>
        </w:rPr>
        <w:t>é</w:t>
      </w:r>
      <w:r w:rsidRPr="007B5322">
        <w:rPr>
          <w:rFonts w:ascii="Bookman Old Style" w:hAnsi="Bookman Old Style" w:cs="Arial"/>
        </w:rPr>
        <w:t xml:space="preserve"> l’analyse et l’interprétation de résultats de l’étude. La revue documentaire </w:t>
      </w:r>
      <w:r w:rsidR="00E078ED">
        <w:rPr>
          <w:rFonts w:ascii="Bookman Old Style" w:hAnsi="Bookman Old Style" w:cs="Arial"/>
        </w:rPr>
        <w:t xml:space="preserve">a </w:t>
      </w:r>
      <w:r w:rsidRPr="007B5322">
        <w:rPr>
          <w:rFonts w:ascii="Bookman Old Style" w:hAnsi="Bookman Old Style" w:cs="Arial"/>
        </w:rPr>
        <w:t>perm</w:t>
      </w:r>
      <w:r w:rsidR="00E078ED">
        <w:rPr>
          <w:rFonts w:ascii="Bookman Old Style" w:hAnsi="Bookman Old Style" w:cs="Arial"/>
        </w:rPr>
        <w:t>is</w:t>
      </w:r>
      <w:r w:rsidRPr="007B5322">
        <w:rPr>
          <w:rFonts w:ascii="Bookman Old Style" w:hAnsi="Bookman Old Style" w:cs="Arial"/>
        </w:rPr>
        <w:t xml:space="preserve"> aussi une meilleure conception des outils de collecte en lien avec les objectifs de l’étude et les indicateurs d’effets du </w:t>
      </w:r>
      <w:r w:rsidR="00402B67">
        <w:rPr>
          <w:rFonts w:ascii="Bookman Old Style" w:hAnsi="Bookman Old Style" w:cs="Arial"/>
        </w:rPr>
        <w:t>programme</w:t>
      </w:r>
      <w:r w:rsidRPr="007B5322">
        <w:rPr>
          <w:rFonts w:ascii="Bookman Old Style" w:hAnsi="Bookman Old Style" w:cs="Arial"/>
        </w:rPr>
        <w:t>.</w:t>
      </w:r>
    </w:p>
    <w:p w14:paraId="79340D9D" w14:textId="77777777" w:rsidR="001815C2" w:rsidRPr="007B5322" w:rsidRDefault="001815C2" w:rsidP="001815C2">
      <w:pPr>
        <w:spacing w:line="276" w:lineRule="auto"/>
        <w:jc w:val="both"/>
        <w:rPr>
          <w:rFonts w:ascii="Bookman Old Style" w:hAnsi="Bookman Old Style" w:cs="Arial"/>
        </w:rPr>
      </w:pPr>
    </w:p>
    <w:p w14:paraId="0F27A490" w14:textId="5CCC180A" w:rsidR="006341AD" w:rsidRPr="006C4F77" w:rsidRDefault="006341AD" w:rsidP="001815C2">
      <w:pPr>
        <w:pStyle w:val="Paragraphedeliste"/>
        <w:numPr>
          <w:ilvl w:val="1"/>
          <w:numId w:val="3"/>
        </w:numPr>
        <w:tabs>
          <w:tab w:val="left" w:pos="4402"/>
        </w:tabs>
        <w:spacing w:after="240" w:line="276" w:lineRule="auto"/>
        <w:jc w:val="both"/>
        <w:outlineLvl w:val="1"/>
        <w:rPr>
          <w:rFonts w:ascii="Bookman Old Style" w:hAnsi="Bookman Old Style" w:cs="Arial"/>
          <w:b/>
          <w:bCs/>
        </w:rPr>
      </w:pPr>
      <w:bookmarkStart w:id="9" w:name="_Toc97822345"/>
      <w:r w:rsidRPr="006C4F77">
        <w:rPr>
          <w:rFonts w:ascii="Bookman Old Style" w:hAnsi="Bookman Old Style" w:cs="Arial"/>
          <w:b/>
          <w:bCs/>
        </w:rPr>
        <w:t>Outils de collecte des données</w:t>
      </w:r>
      <w:bookmarkEnd w:id="9"/>
      <w:r w:rsidRPr="006C4F77">
        <w:rPr>
          <w:rFonts w:ascii="Bookman Old Style" w:hAnsi="Bookman Old Style" w:cs="Arial"/>
          <w:b/>
          <w:bCs/>
        </w:rPr>
        <w:t xml:space="preserve"> </w:t>
      </w:r>
    </w:p>
    <w:p w14:paraId="7EE0F017" w14:textId="20DFC66F" w:rsidR="006341AD" w:rsidRPr="007B5322" w:rsidRDefault="006341AD" w:rsidP="007B5322">
      <w:pPr>
        <w:spacing w:before="240" w:line="276" w:lineRule="auto"/>
        <w:jc w:val="both"/>
        <w:rPr>
          <w:rFonts w:ascii="Bookman Old Style" w:hAnsi="Bookman Old Style" w:cs="Arial"/>
        </w:rPr>
      </w:pPr>
      <w:r w:rsidRPr="007B5322">
        <w:rPr>
          <w:rFonts w:ascii="Bookman Old Style" w:hAnsi="Bookman Old Style" w:cs="Arial"/>
        </w:rPr>
        <w:t xml:space="preserve">Deux outils de collecte des données seront élaborés. Un guide d’entretien adressé aux Comité de gestion GFS et axé essentiellement sur les données </w:t>
      </w:r>
      <w:r w:rsidRPr="007B5322">
        <w:rPr>
          <w:rFonts w:ascii="Bookman Old Style" w:hAnsi="Bookman Old Style" w:cs="Arial"/>
        </w:rPr>
        <w:lastRenderedPageBreak/>
        <w:t xml:space="preserve">relatives à la gestion du grenier. Il </w:t>
      </w:r>
      <w:r w:rsidR="00E078ED">
        <w:rPr>
          <w:rFonts w:ascii="Bookman Old Style" w:hAnsi="Bookman Old Style" w:cs="Arial"/>
        </w:rPr>
        <w:t>a couvert</w:t>
      </w:r>
      <w:r w:rsidR="00E078ED" w:rsidRPr="007B5322">
        <w:rPr>
          <w:rFonts w:ascii="Bookman Old Style" w:hAnsi="Bookman Old Style" w:cs="Arial"/>
        </w:rPr>
        <w:t xml:space="preserve"> </w:t>
      </w:r>
      <w:r w:rsidRPr="007B5322">
        <w:rPr>
          <w:rFonts w:ascii="Bookman Old Style" w:hAnsi="Bookman Old Style" w:cs="Arial"/>
        </w:rPr>
        <w:t xml:space="preserve">entre autres les thématiques de fonctionnement du comité de gestion, de cession-vente des vivres, de recouvrement et reconstitution de stock, difficultés rencontrées etc. </w:t>
      </w:r>
    </w:p>
    <w:p w14:paraId="1667A303" w14:textId="137F0587" w:rsidR="006341AD" w:rsidRPr="007B5322" w:rsidRDefault="006341AD" w:rsidP="007B5322">
      <w:pPr>
        <w:spacing w:before="240" w:line="276" w:lineRule="auto"/>
        <w:jc w:val="both"/>
        <w:rPr>
          <w:rFonts w:ascii="Bookman Old Style" w:hAnsi="Bookman Old Style" w:cs="Arial"/>
        </w:rPr>
      </w:pPr>
      <w:r w:rsidRPr="007B5322">
        <w:rPr>
          <w:rFonts w:ascii="Bookman Old Style" w:hAnsi="Bookman Old Style" w:cs="Arial"/>
        </w:rPr>
        <w:t xml:space="preserve">Un questionnaire individuel cette fois-ci </w:t>
      </w:r>
      <w:r w:rsidR="00E078ED">
        <w:rPr>
          <w:rFonts w:ascii="Bookman Old Style" w:hAnsi="Bookman Old Style" w:cs="Arial"/>
        </w:rPr>
        <w:t>a été</w:t>
      </w:r>
      <w:r w:rsidR="00E078ED" w:rsidRPr="007B5322">
        <w:rPr>
          <w:rFonts w:ascii="Bookman Old Style" w:hAnsi="Bookman Old Style" w:cs="Arial"/>
        </w:rPr>
        <w:t xml:space="preserve"> </w:t>
      </w:r>
      <w:r w:rsidRPr="007B5322">
        <w:rPr>
          <w:rFonts w:ascii="Bookman Old Style" w:hAnsi="Bookman Old Style" w:cs="Arial"/>
        </w:rPr>
        <w:t xml:space="preserve">adressé aux femmes membres GFS ou non. Ce deuxième outil </w:t>
      </w:r>
      <w:proofErr w:type="gramStart"/>
      <w:r w:rsidR="00E078ED">
        <w:rPr>
          <w:rFonts w:ascii="Bookman Old Style" w:hAnsi="Bookman Old Style" w:cs="Arial"/>
        </w:rPr>
        <w:t>ont</w:t>
      </w:r>
      <w:proofErr w:type="gramEnd"/>
      <w:r w:rsidR="00E078ED">
        <w:rPr>
          <w:rFonts w:ascii="Bookman Old Style" w:hAnsi="Bookman Old Style" w:cs="Arial"/>
        </w:rPr>
        <w:t xml:space="preserve"> </w:t>
      </w:r>
      <w:r w:rsidRPr="007B5322">
        <w:rPr>
          <w:rFonts w:ascii="Bookman Old Style" w:hAnsi="Bookman Old Style" w:cs="Arial"/>
        </w:rPr>
        <w:t>abord</w:t>
      </w:r>
      <w:r w:rsidR="00E078ED">
        <w:rPr>
          <w:rFonts w:ascii="Bookman Old Style" w:hAnsi="Bookman Old Style" w:cs="Arial"/>
        </w:rPr>
        <w:t>é</w:t>
      </w:r>
      <w:r w:rsidRPr="007B5322">
        <w:rPr>
          <w:rFonts w:ascii="Bookman Old Style" w:hAnsi="Bookman Old Style" w:cs="Arial"/>
        </w:rPr>
        <w:t xml:space="preserve"> les questions de distribution-achat de vivres, de l’utilisation des vivres, de remboursement de prêt, de vente main d’œuvre agricole, de jour de sécurité alimentaire, etc.</w:t>
      </w:r>
    </w:p>
    <w:p w14:paraId="20E558EC" w14:textId="3122F92B" w:rsidR="006341AD" w:rsidRDefault="006341AD" w:rsidP="007B5322">
      <w:pPr>
        <w:spacing w:before="240" w:line="276" w:lineRule="auto"/>
        <w:jc w:val="both"/>
        <w:rPr>
          <w:rFonts w:ascii="Bookman Old Style" w:hAnsi="Bookman Old Style" w:cs="Arial"/>
        </w:rPr>
      </w:pPr>
      <w:r w:rsidRPr="007B5322">
        <w:rPr>
          <w:rFonts w:ascii="Bookman Old Style" w:hAnsi="Bookman Old Style" w:cs="Arial"/>
        </w:rPr>
        <w:t xml:space="preserve">Les données </w:t>
      </w:r>
      <w:r w:rsidR="00DE164A">
        <w:rPr>
          <w:rFonts w:ascii="Bookman Old Style" w:hAnsi="Bookman Old Style" w:cs="Arial"/>
        </w:rPr>
        <w:t>ont été</w:t>
      </w:r>
      <w:r w:rsidR="00DE164A" w:rsidRPr="007B5322">
        <w:rPr>
          <w:rFonts w:ascii="Bookman Old Style" w:hAnsi="Bookman Old Style" w:cs="Arial"/>
        </w:rPr>
        <w:t xml:space="preserve"> </w:t>
      </w:r>
      <w:r w:rsidRPr="007B5322">
        <w:rPr>
          <w:rFonts w:ascii="Bookman Old Style" w:hAnsi="Bookman Old Style" w:cs="Arial"/>
        </w:rPr>
        <w:t xml:space="preserve">collectées à l’aide des tablettes pour un meilleur contrôle qualité. A cet effet, l’Informaticien de la CENRAT sera mobilisé dans le cadre de cette étude. Les enquêteurs </w:t>
      </w:r>
      <w:r w:rsidR="00DE164A">
        <w:rPr>
          <w:rFonts w:ascii="Bookman Old Style" w:hAnsi="Bookman Old Style" w:cs="Arial"/>
        </w:rPr>
        <w:t>ont été</w:t>
      </w:r>
      <w:r w:rsidR="00DE164A" w:rsidRPr="007B5322">
        <w:rPr>
          <w:rFonts w:ascii="Bookman Old Style" w:hAnsi="Bookman Old Style" w:cs="Arial"/>
        </w:rPr>
        <w:t xml:space="preserve"> </w:t>
      </w:r>
      <w:r w:rsidRPr="007B5322">
        <w:rPr>
          <w:rFonts w:ascii="Bookman Old Style" w:hAnsi="Bookman Old Style" w:cs="Arial"/>
        </w:rPr>
        <w:t xml:space="preserve">formés sur la prise en main de questionnaire sur tablette et un prétest sera effectué pour améliorer la qualité du questionnaire et vérifier la compréhension des questionnaires par les enquêteurs. Cette étape </w:t>
      </w:r>
      <w:r w:rsidR="00DE164A">
        <w:rPr>
          <w:rFonts w:ascii="Bookman Old Style" w:hAnsi="Bookman Old Style" w:cs="Arial"/>
        </w:rPr>
        <w:t>a été</w:t>
      </w:r>
      <w:r w:rsidR="00DE164A" w:rsidRPr="007B5322">
        <w:rPr>
          <w:rFonts w:ascii="Bookman Old Style" w:hAnsi="Bookman Old Style" w:cs="Arial"/>
        </w:rPr>
        <w:t xml:space="preserve"> </w:t>
      </w:r>
      <w:r w:rsidRPr="007B5322">
        <w:rPr>
          <w:rFonts w:ascii="Bookman Old Style" w:hAnsi="Bookman Old Style" w:cs="Arial"/>
        </w:rPr>
        <w:t>faite à Maradi et en deux jours, 1 jour pour la formation et 1 jour pour le prétest.</w:t>
      </w:r>
    </w:p>
    <w:p w14:paraId="3874EB14" w14:textId="77777777" w:rsidR="001815C2" w:rsidRPr="007B5322" w:rsidRDefault="001815C2" w:rsidP="001815C2">
      <w:pPr>
        <w:spacing w:line="276" w:lineRule="auto"/>
        <w:jc w:val="both"/>
        <w:rPr>
          <w:rFonts w:ascii="Bookman Old Style" w:hAnsi="Bookman Old Style" w:cs="Arial"/>
        </w:rPr>
      </w:pPr>
    </w:p>
    <w:p w14:paraId="19911D5E" w14:textId="025EB1CC" w:rsidR="006341AD" w:rsidRPr="006C4F77" w:rsidRDefault="006341AD" w:rsidP="001815C2">
      <w:pPr>
        <w:pStyle w:val="Paragraphedeliste"/>
        <w:numPr>
          <w:ilvl w:val="1"/>
          <w:numId w:val="3"/>
        </w:numPr>
        <w:tabs>
          <w:tab w:val="left" w:pos="4402"/>
        </w:tabs>
        <w:spacing w:after="240" w:line="276" w:lineRule="auto"/>
        <w:jc w:val="both"/>
        <w:outlineLvl w:val="1"/>
        <w:rPr>
          <w:rFonts w:ascii="Bookman Old Style" w:hAnsi="Bookman Old Style" w:cs="Arial"/>
          <w:b/>
          <w:bCs/>
        </w:rPr>
      </w:pPr>
      <w:bookmarkStart w:id="10" w:name="_Toc97822346"/>
      <w:r w:rsidRPr="006C4F77">
        <w:rPr>
          <w:rFonts w:ascii="Bookman Old Style" w:hAnsi="Bookman Old Style" w:cs="Arial"/>
          <w:b/>
          <w:bCs/>
        </w:rPr>
        <w:t>Cibles à enquêter</w:t>
      </w:r>
      <w:bookmarkEnd w:id="10"/>
      <w:r w:rsidRPr="006C4F77">
        <w:rPr>
          <w:rFonts w:ascii="Bookman Old Style" w:hAnsi="Bookman Old Style" w:cs="Arial"/>
          <w:b/>
          <w:bCs/>
        </w:rPr>
        <w:t xml:space="preserve"> </w:t>
      </w:r>
    </w:p>
    <w:p w14:paraId="6F206B7F" w14:textId="25BDC1A9" w:rsidR="006341AD" w:rsidRPr="007B5322" w:rsidRDefault="006341AD" w:rsidP="007B5322">
      <w:pPr>
        <w:spacing w:before="240" w:line="276" w:lineRule="auto"/>
        <w:jc w:val="both"/>
        <w:rPr>
          <w:rFonts w:ascii="Bookman Old Style" w:hAnsi="Bookman Old Style" w:cs="Arial"/>
        </w:rPr>
      </w:pPr>
      <w:r w:rsidRPr="007B5322">
        <w:rPr>
          <w:rFonts w:ascii="Bookman Old Style" w:hAnsi="Bookman Old Style" w:cs="Arial"/>
        </w:rPr>
        <w:t xml:space="preserve">Les Comité de gestion de GFS et les femmes membres ou non de GFS constituent les principaux groupes cible de l’enquête. Les outils de collecte </w:t>
      </w:r>
      <w:r w:rsidR="00DE164A">
        <w:rPr>
          <w:rFonts w:ascii="Bookman Old Style" w:hAnsi="Bookman Old Style" w:cs="Arial"/>
        </w:rPr>
        <w:t xml:space="preserve">ont </w:t>
      </w:r>
      <w:proofErr w:type="gramStart"/>
      <w:r w:rsidR="00DE164A">
        <w:rPr>
          <w:rFonts w:ascii="Bookman Old Style" w:hAnsi="Bookman Old Style" w:cs="Arial"/>
        </w:rPr>
        <w:t xml:space="preserve">été </w:t>
      </w:r>
      <w:r w:rsidR="00DE164A" w:rsidRPr="007B5322">
        <w:rPr>
          <w:rFonts w:ascii="Bookman Old Style" w:hAnsi="Bookman Old Style" w:cs="Arial"/>
        </w:rPr>
        <w:t xml:space="preserve"> </w:t>
      </w:r>
      <w:r w:rsidRPr="007B5322">
        <w:rPr>
          <w:rFonts w:ascii="Bookman Old Style" w:hAnsi="Bookman Old Style" w:cs="Arial"/>
        </w:rPr>
        <w:t>administrés</w:t>
      </w:r>
      <w:proofErr w:type="gramEnd"/>
      <w:r w:rsidRPr="007B5322">
        <w:rPr>
          <w:rFonts w:ascii="Bookman Old Style" w:hAnsi="Bookman Old Style" w:cs="Arial"/>
        </w:rPr>
        <w:t xml:space="preserve"> d’une part aux Comité en focus group et d’autre part à 10 femmes individuellement par village. </w:t>
      </w:r>
    </w:p>
    <w:p w14:paraId="49C8EADC" w14:textId="661BF867" w:rsidR="006341AD" w:rsidRDefault="006341AD" w:rsidP="007B5322">
      <w:pPr>
        <w:spacing w:before="240" w:line="276" w:lineRule="auto"/>
        <w:jc w:val="both"/>
        <w:rPr>
          <w:rFonts w:ascii="Bookman Old Style" w:hAnsi="Bookman Old Style" w:cs="Arial"/>
        </w:rPr>
      </w:pPr>
      <w:r w:rsidRPr="007B5322">
        <w:rPr>
          <w:rFonts w:ascii="Bookman Old Style" w:hAnsi="Bookman Old Style" w:cs="Arial"/>
        </w:rPr>
        <w:t>Par ailleurs, des échanges seront également faits avec les cadres de l’URGP ainsi que ceux des opérateurs de mise en œuvre de GFS pour approfondir certains points et aussi recueillir leurs appréciations des résultats de mise en œuvre de cette activité.</w:t>
      </w:r>
    </w:p>
    <w:p w14:paraId="5A156647" w14:textId="77777777" w:rsidR="001815C2" w:rsidRPr="007B5322" w:rsidRDefault="001815C2" w:rsidP="001815C2">
      <w:pPr>
        <w:spacing w:line="276" w:lineRule="auto"/>
        <w:jc w:val="both"/>
        <w:rPr>
          <w:rFonts w:ascii="Bookman Old Style" w:hAnsi="Bookman Old Style" w:cs="Arial"/>
        </w:rPr>
      </w:pPr>
    </w:p>
    <w:p w14:paraId="3BE6E059" w14:textId="6046EEA7" w:rsidR="006341AD" w:rsidRPr="006C4F77" w:rsidRDefault="006341AD" w:rsidP="001815C2">
      <w:pPr>
        <w:pStyle w:val="Paragraphedeliste"/>
        <w:numPr>
          <w:ilvl w:val="1"/>
          <w:numId w:val="3"/>
        </w:numPr>
        <w:tabs>
          <w:tab w:val="left" w:pos="4402"/>
        </w:tabs>
        <w:spacing w:after="240" w:line="276" w:lineRule="auto"/>
        <w:jc w:val="both"/>
        <w:outlineLvl w:val="1"/>
        <w:rPr>
          <w:rFonts w:ascii="Bookman Old Style" w:hAnsi="Bookman Old Style" w:cs="Arial"/>
          <w:b/>
          <w:bCs/>
        </w:rPr>
      </w:pPr>
      <w:bookmarkStart w:id="11" w:name="_Toc97822347"/>
      <w:r w:rsidRPr="006C4F77">
        <w:rPr>
          <w:rFonts w:ascii="Bookman Old Style" w:hAnsi="Bookman Old Style" w:cs="Arial"/>
          <w:b/>
          <w:bCs/>
        </w:rPr>
        <w:t>Echantillonnage</w:t>
      </w:r>
      <w:bookmarkEnd w:id="11"/>
      <w:r w:rsidRPr="006C4F77">
        <w:rPr>
          <w:rFonts w:ascii="Bookman Old Style" w:hAnsi="Bookman Old Style" w:cs="Arial"/>
          <w:b/>
          <w:bCs/>
        </w:rPr>
        <w:t xml:space="preserve"> </w:t>
      </w:r>
    </w:p>
    <w:p w14:paraId="23399BC9" w14:textId="4A3F2076" w:rsidR="006341AD" w:rsidRDefault="006341AD" w:rsidP="007B5322">
      <w:pPr>
        <w:spacing w:before="240" w:line="276" w:lineRule="auto"/>
        <w:jc w:val="both"/>
        <w:rPr>
          <w:rFonts w:ascii="Bookman Old Style" w:hAnsi="Bookman Old Style" w:cs="Arial"/>
        </w:rPr>
      </w:pPr>
      <w:r w:rsidRPr="007B5322">
        <w:rPr>
          <w:rFonts w:ascii="Bookman Old Style" w:hAnsi="Bookman Old Style" w:cs="Arial"/>
        </w:rPr>
        <w:t xml:space="preserve">La détermination des villages et des personnes à interviewer sera fera à deux niveaux dans le cadre de cette étude. Tout d’abord, le choix des villages tiendra compte de l’ancienneté de GFS, Ainsi, les villages seront choisis au hasard parmi les villages GFS ont au moins 2 ans de fonctionnement soit les GFS. Le choix de village se fera avec les URGP. Au niveau de chaque région, 8 villages GFS seront sélectionnés pour la collecte des données, soit 24 villages. Les informations relatives à la gestion du GFS seront collectées auprès de comités de gestion GFS de ces 24 villages. Quant aux données consacrées à la contribution de GFS à la sécurité alimentaire et nutritionnelle ainsi que la résilience des ménages ruraux, elles seront collectées auprès des femmes membres ou non de GFS. A cet effet, dix (10) femmes seront également choisies au hasard au niveau de chaque village d’enquête. Ainsi, </w:t>
      </w:r>
      <w:r w:rsidRPr="007B5322">
        <w:rPr>
          <w:rFonts w:ascii="Bookman Old Style" w:hAnsi="Bookman Old Style" w:cs="Arial"/>
        </w:rPr>
        <w:lastRenderedPageBreak/>
        <w:t>240 femmes seront enquêtées dans les trois régions, à raison de 80 femmes par région.</w:t>
      </w:r>
    </w:p>
    <w:p w14:paraId="72CD3165" w14:textId="77777777" w:rsidR="001815C2" w:rsidRPr="007B5322" w:rsidRDefault="001815C2" w:rsidP="001815C2">
      <w:pPr>
        <w:spacing w:line="276" w:lineRule="auto"/>
        <w:jc w:val="both"/>
        <w:rPr>
          <w:rFonts w:ascii="Bookman Old Style" w:hAnsi="Bookman Old Style" w:cs="Arial"/>
        </w:rPr>
      </w:pPr>
    </w:p>
    <w:p w14:paraId="741A459C" w14:textId="24033A61" w:rsidR="006341AD" w:rsidRPr="006C4F77" w:rsidRDefault="006341AD" w:rsidP="001815C2">
      <w:pPr>
        <w:pStyle w:val="Paragraphedeliste"/>
        <w:numPr>
          <w:ilvl w:val="1"/>
          <w:numId w:val="3"/>
        </w:numPr>
        <w:tabs>
          <w:tab w:val="left" w:pos="4402"/>
        </w:tabs>
        <w:spacing w:after="240" w:line="276" w:lineRule="auto"/>
        <w:jc w:val="both"/>
        <w:outlineLvl w:val="1"/>
        <w:rPr>
          <w:rFonts w:ascii="Bookman Old Style" w:hAnsi="Bookman Old Style" w:cs="Arial"/>
          <w:b/>
          <w:bCs/>
        </w:rPr>
      </w:pPr>
      <w:bookmarkStart w:id="12" w:name="_Toc97822348"/>
      <w:r w:rsidRPr="006C4F77">
        <w:rPr>
          <w:rFonts w:ascii="Bookman Old Style" w:hAnsi="Bookman Old Style" w:cs="Arial"/>
          <w:b/>
          <w:bCs/>
        </w:rPr>
        <w:t>Collecte des données</w:t>
      </w:r>
      <w:bookmarkEnd w:id="12"/>
      <w:r w:rsidRPr="006C4F77">
        <w:rPr>
          <w:rFonts w:ascii="Bookman Old Style" w:hAnsi="Bookman Old Style" w:cs="Arial"/>
          <w:b/>
          <w:bCs/>
        </w:rPr>
        <w:t xml:space="preserve"> </w:t>
      </w:r>
    </w:p>
    <w:p w14:paraId="421E782A" w14:textId="77777777" w:rsidR="001815C2" w:rsidRDefault="006341AD" w:rsidP="007B5322">
      <w:pPr>
        <w:spacing w:before="240" w:line="276" w:lineRule="auto"/>
        <w:jc w:val="both"/>
        <w:rPr>
          <w:rFonts w:ascii="Bookman Old Style" w:hAnsi="Bookman Old Style" w:cs="Arial"/>
        </w:rPr>
      </w:pPr>
      <w:r w:rsidRPr="007B5322">
        <w:rPr>
          <w:rFonts w:ascii="Bookman Old Style" w:hAnsi="Bookman Old Style" w:cs="Arial"/>
        </w:rPr>
        <w:t>La phase de collecte de données s’étalera sur 5 jours y compris le délai de route au niveau de chaque région. Toutes ces données seront collectées par des enquêteurs qui seront identifiés et mobilisés avec l’appui des URGP de Tahoua, Maradi et Zinder. Une séance de travail sera tenue avec les enquêteurs afin de partager les objectifs de l’enquête ainsi que les outils de collecte des données sur le terrain au cours d’une formation. Au niveau de chaque URGP une équipe composée chacune de 3 enquêteurs mobilisée. L’ATN Sociologue et l’Informaticien superviseront la collecte des données sur le terrain et mèneront des entretiens avec les acteurs des URGP et les partenaires de mise en œuvre des activités GFS pour approfondir l’analyse de résultats.</w:t>
      </w:r>
    </w:p>
    <w:p w14:paraId="2EED587A" w14:textId="3A1E93F2" w:rsidR="006341AD" w:rsidRPr="007B5322" w:rsidRDefault="006341AD" w:rsidP="001815C2">
      <w:pPr>
        <w:spacing w:line="276" w:lineRule="auto"/>
        <w:jc w:val="both"/>
        <w:rPr>
          <w:rFonts w:ascii="Bookman Old Style" w:hAnsi="Bookman Old Style" w:cs="Arial"/>
        </w:rPr>
      </w:pPr>
      <w:r w:rsidRPr="007B5322">
        <w:rPr>
          <w:rFonts w:ascii="Bookman Old Style" w:hAnsi="Bookman Old Style" w:cs="Arial"/>
        </w:rPr>
        <w:t xml:space="preserve"> </w:t>
      </w:r>
    </w:p>
    <w:p w14:paraId="4A371CD0" w14:textId="35FAD925" w:rsidR="006341AD" w:rsidRPr="006C4F77" w:rsidRDefault="006341AD" w:rsidP="001815C2">
      <w:pPr>
        <w:pStyle w:val="Paragraphedeliste"/>
        <w:numPr>
          <w:ilvl w:val="1"/>
          <w:numId w:val="3"/>
        </w:numPr>
        <w:tabs>
          <w:tab w:val="left" w:pos="4402"/>
        </w:tabs>
        <w:spacing w:after="240" w:line="276" w:lineRule="auto"/>
        <w:jc w:val="both"/>
        <w:outlineLvl w:val="1"/>
        <w:rPr>
          <w:rFonts w:ascii="Bookman Old Style" w:hAnsi="Bookman Old Style" w:cs="Arial"/>
          <w:b/>
          <w:bCs/>
        </w:rPr>
      </w:pPr>
      <w:bookmarkStart w:id="13" w:name="_Toc97822349"/>
      <w:r w:rsidRPr="006C4F77">
        <w:rPr>
          <w:rFonts w:ascii="Bookman Old Style" w:hAnsi="Bookman Old Style" w:cs="Arial"/>
          <w:b/>
          <w:bCs/>
        </w:rPr>
        <w:t>Traitement, analyse et interprétation des résultats</w:t>
      </w:r>
      <w:bookmarkEnd w:id="13"/>
      <w:r w:rsidRPr="006C4F77">
        <w:rPr>
          <w:rFonts w:ascii="Bookman Old Style" w:hAnsi="Bookman Old Style" w:cs="Arial"/>
          <w:b/>
          <w:bCs/>
        </w:rPr>
        <w:t xml:space="preserve"> </w:t>
      </w:r>
    </w:p>
    <w:p w14:paraId="75C1C1BD" w14:textId="3F59403D" w:rsidR="006341AD" w:rsidRPr="007B5322" w:rsidRDefault="006341AD" w:rsidP="007B5322">
      <w:pPr>
        <w:spacing w:before="240" w:line="276" w:lineRule="auto"/>
        <w:jc w:val="both"/>
        <w:rPr>
          <w:rFonts w:ascii="Bookman Old Style" w:hAnsi="Bookman Old Style" w:cs="Arial"/>
        </w:rPr>
      </w:pPr>
      <w:r w:rsidRPr="007B5322">
        <w:rPr>
          <w:rFonts w:ascii="Bookman Old Style" w:hAnsi="Bookman Old Style" w:cs="Arial"/>
        </w:rPr>
        <w:t>Le traitement et l’analyse sera fait sur EXCEL. Les données analysées permettront de produire un rapport d’étude qui présentera une analyse critique quantitative et qualitative de la contribution de GFS à l’amélioration de la sécurité alimentaire et nutritionnelle et au renforcement de la résilience des ménages ruraux.</w:t>
      </w:r>
    </w:p>
    <w:p w14:paraId="3BE8DBD4" w14:textId="77777777" w:rsidR="006341AD" w:rsidRPr="007B5322" w:rsidRDefault="006341AD" w:rsidP="00DC41A2">
      <w:pPr>
        <w:spacing w:line="276" w:lineRule="auto"/>
        <w:jc w:val="both"/>
        <w:outlineLvl w:val="0"/>
        <w:rPr>
          <w:rFonts w:ascii="Bookman Old Style" w:hAnsi="Bookman Old Style" w:cs="Arial"/>
        </w:rPr>
      </w:pPr>
    </w:p>
    <w:p w14:paraId="7FF16F22" w14:textId="123A2AEC" w:rsidR="00D16800" w:rsidRPr="00596BE7" w:rsidRDefault="00D16800" w:rsidP="00E634F7">
      <w:pPr>
        <w:pStyle w:val="Paragraphedeliste"/>
        <w:numPr>
          <w:ilvl w:val="0"/>
          <w:numId w:val="3"/>
        </w:numPr>
        <w:spacing w:after="240" w:line="276" w:lineRule="auto"/>
        <w:outlineLvl w:val="0"/>
        <w:rPr>
          <w:rFonts w:ascii="Bookman Old Style" w:hAnsi="Bookman Old Style" w:cs="Arial"/>
          <w:b/>
        </w:rPr>
      </w:pPr>
      <w:bookmarkStart w:id="14" w:name="_Toc97822350"/>
      <w:r w:rsidRPr="00596BE7">
        <w:rPr>
          <w:rFonts w:ascii="Bookman Old Style" w:hAnsi="Bookman Old Style" w:cs="Arial"/>
          <w:b/>
        </w:rPr>
        <w:t xml:space="preserve">RESULTATS </w:t>
      </w:r>
      <w:r w:rsidR="00E765DF">
        <w:rPr>
          <w:rFonts w:ascii="Bookman Old Style" w:hAnsi="Bookman Old Style" w:cs="Arial"/>
          <w:b/>
        </w:rPr>
        <w:t xml:space="preserve">DE </w:t>
      </w:r>
      <w:r w:rsidR="00940964">
        <w:rPr>
          <w:rFonts w:ascii="Bookman Old Style" w:hAnsi="Bookman Old Style" w:cs="Arial"/>
          <w:b/>
        </w:rPr>
        <w:t>L</w:t>
      </w:r>
      <w:r w:rsidR="00E765DF">
        <w:rPr>
          <w:rFonts w:ascii="Bookman Old Style" w:hAnsi="Bookman Old Style" w:cs="Arial"/>
          <w:b/>
        </w:rPr>
        <w:t>’ETUDE</w:t>
      </w:r>
      <w:bookmarkEnd w:id="14"/>
    </w:p>
    <w:p w14:paraId="12476261" w14:textId="5AC6E14F" w:rsidR="00A04A43" w:rsidRPr="004058C5" w:rsidRDefault="00A836B9" w:rsidP="00CC71A8">
      <w:pPr>
        <w:pStyle w:val="Paragraphedeliste"/>
        <w:numPr>
          <w:ilvl w:val="1"/>
          <w:numId w:val="3"/>
        </w:numPr>
        <w:tabs>
          <w:tab w:val="left" w:pos="4402"/>
        </w:tabs>
        <w:spacing w:after="240" w:line="276" w:lineRule="auto"/>
        <w:jc w:val="both"/>
        <w:outlineLvl w:val="1"/>
        <w:rPr>
          <w:rFonts w:ascii="Bookman Old Style" w:hAnsi="Bookman Old Style" w:cs="Arial"/>
          <w:b/>
          <w:bCs/>
        </w:rPr>
      </w:pPr>
      <w:bookmarkStart w:id="15" w:name="_Toc97822351"/>
      <w:r w:rsidRPr="004058C5">
        <w:rPr>
          <w:rFonts w:ascii="Bookman Old Style" w:hAnsi="Bookman Old Style" w:cs="Arial"/>
          <w:b/>
          <w:bCs/>
        </w:rPr>
        <w:t>Informations générales sur les groupements</w:t>
      </w:r>
      <w:r w:rsidR="006341AD" w:rsidRPr="004058C5">
        <w:rPr>
          <w:rFonts w:ascii="Bookman Old Style" w:hAnsi="Bookman Old Style" w:cs="Arial"/>
          <w:b/>
          <w:bCs/>
        </w:rPr>
        <w:t xml:space="preserve"> enquêtés</w:t>
      </w:r>
      <w:bookmarkEnd w:id="15"/>
    </w:p>
    <w:p w14:paraId="7EE67DD0" w14:textId="7227C756" w:rsidR="00C21130" w:rsidRPr="00C21130" w:rsidRDefault="00DA79F9" w:rsidP="00CC71A8">
      <w:pPr>
        <w:pStyle w:val="Titre3"/>
        <w:numPr>
          <w:ilvl w:val="0"/>
          <w:numId w:val="0"/>
        </w:numPr>
        <w:ind w:left="720" w:hanging="720"/>
        <w:rPr>
          <w:rFonts w:ascii="Bookman Old Style" w:hAnsi="Bookman Old Style" w:cs="Arial"/>
          <w:i/>
          <w:iCs/>
        </w:rPr>
      </w:pPr>
      <w:bookmarkStart w:id="16" w:name="_Toc97822352"/>
      <w:r>
        <w:rPr>
          <w:rFonts w:ascii="Bookman Old Style" w:hAnsi="Bookman Old Style" w:cs="Arial"/>
          <w:i/>
          <w:iCs/>
        </w:rPr>
        <w:t>5</w:t>
      </w:r>
      <w:r w:rsidR="00C21130" w:rsidRPr="00C21130">
        <w:rPr>
          <w:rFonts w:ascii="Bookman Old Style" w:hAnsi="Bookman Old Style" w:cs="Arial"/>
          <w:i/>
          <w:iCs/>
        </w:rPr>
        <w:t xml:space="preserve">.1.1. Nombre de GFS et </w:t>
      </w:r>
      <w:r w:rsidR="00831EAA">
        <w:rPr>
          <w:rFonts w:ascii="Bookman Old Style" w:hAnsi="Bookman Old Style" w:cs="Arial"/>
          <w:i/>
          <w:iCs/>
        </w:rPr>
        <w:t xml:space="preserve">de </w:t>
      </w:r>
      <w:r w:rsidR="00C21130" w:rsidRPr="00C21130">
        <w:rPr>
          <w:rFonts w:ascii="Bookman Old Style" w:hAnsi="Bookman Old Style" w:cs="Arial"/>
          <w:i/>
          <w:iCs/>
        </w:rPr>
        <w:t>groupements</w:t>
      </w:r>
      <w:r w:rsidR="00831EAA">
        <w:rPr>
          <w:rFonts w:ascii="Bookman Old Style" w:hAnsi="Bookman Old Style" w:cs="Arial"/>
          <w:i/>
          <w:iCs/>
        </w:rPr>
        <w:t xml:space="preserve"> membres</w:t>
      </w:r>
      <w:bookmarkEnd w:id="16"/>
    </w:p>
    <w:p w14:paraId="73450200" w14:textId="07CA81E9" w:rsidR="003F0F3B" w:rsidRPr="007B5322" w:rsidRDefault="003F0F3B" w:rsidP="007B5322">
      <w:pPr>
        <w:tabs>
          <w:tab w:val="left" w:pos="4402"/>
        </w:tabs>
        <w:spacing w:before="240" w:line="276" w:lineRule="auto"/>
        <w:jc w:val="both"/>
        <w:rPr>
          <w:rFonts w:ascii="Bookman Old Style" w:hAnsi="Bookman Old Style" w:cs="Arial"/>
        </w:rPr>
      </w:pPr>
      <w:r w:rsidRPr="007B5322">
        <w:rPr>
          <w:rFonts w:ascii="Bookman Old Style" w:hAnsi="Bookman Old Style" w:cs="Arial"/>
        </w:rPr>
        <w:t xml:space="preserve">La situation des GFS enquêtés par PDE est présentée dans le tableau ci-dessous : </w:t>
      </w:r>
    </w:p>
    <w:p w14:paraId="2729B70C" w14:textId="12D40AFD" w:rsidR="004A6B96" w:rsidRPr="00F41027" w:rsidRDefault="00F41027" w:rsidP="00F41027">
      <w:pPr>
        <w:pStyle w:val="Lgende"/>
        <w:spacing w:after="0"/>
      </w:pPr>
      <w:r>
        <w:t xml:space="preserve">                 </w:t>
      </w:r>
      <w:bookmarkStart w:id="17" w:name="_Toc97822380"/>
      <w:r w:rsidR="00610328">
        <w:t xml:space="preserve">Tableau </w:t>
      </w:r>
      <w:fldSimple w:instr=" SEQ Tableau \* ARABIC ">
        <w:r w:rsidR="00275B4D">
          <w:rPr>
            <w:noProof/>
          </w:rPr>
          <w:t>1</w:t>
        </w:r>
      </w:fldSimple>
      <w:r w:rsidR="00610328">
        <w:t> : Situation des réseau MMD et groupement membre</w:t>
      </w:r>
      <w:bookmarkEnd w:id="17"/>
    </w:p>
    <w:tbl>
      <w:tblPr>
        <w:tblW w:w="7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0"/>
        <w:gridCol w:w="2360"/>
        <w:gridCol w:w="2880"/>
      </w:tblGrid>
      <w:tr w:rsidR="004A6B96" w:rsidRPr="004A6B96" w14:paraId="0B7587F2" w14:textId="77777777" w:rsidTr="006C6ED5">
        <w:trPr>
          <w:trHeight w:val="264"/>
          <w:tblHeader/>
          <w:jc w:val="center"/>
        </w:trPr>
        <w:tc>
          <w:tcPr>
            <w:tcW w:w="2220" w:type="dxa"/>
            <w:shd w:val="clear" w:color="D9E7FD" w:fill="D9E7FD"/>
            <w:noWrap/>
            <w:vAlign w:val="bottom"/>
            <w:hideMark/>
          </w:tcPr>
          <w:p w14:paraId="1DB35E4D" w14:textId="77777777" w:rsidR="004A6B96" w:rsidRPr="004A6B96" w:rsidRDefault="004A6B96" w:rsidP="004A6B96">
            <w:pPr>
              <w:rPr>
                <w:rFonts w:ascii="Arial" w:hAnsi="Arial" w:cs="Arial"/>
                <w:b/>
                <w:bCs/>
                <w:color w:val="000000"/>
                <w:sz w:val="20"/>
                <w:szCs w:val="20"/>
              </w:rPr>
            </w:pPr>
            <w:r w:rsidRPr="004A6B96">
              <w:rPr>
                <w:rFonts w:ascii="Arial" w:hAnsi="Arial" w:cs="Arial"/>
                <w:b/>
                <w:bCs/>
                <w:color w:val="000000"/>
                <w:sz w:val="20"/>
                <w:szCs w:val="20"/>
              </w:rPr>
              <w:t>Étiquettes de lignes</w:t>
            </w:r>
          </w:p>
        </w:tc>
        <w:tc>
          <w:tcPr>
            <w:tcW w:w="2360" w:type="dxa"/>
            <w:shd w:val="clear" w:color="D9E7FD" w:fill="D9E7FD"/>
            <w:noWrap/>
            <w:vAlign w:val="bottom"/>
            <w:hideMark/>
          </w:tcPr>
          <w:p w14:paraId="0535761C" w14:textId="1ACEF519" w:rsidR="004A6B96" w:rsidRPr="004A6B96" w:rsidRDefault="004A6B96" w:rsidP="004A6B96">
            <w:pPr>
              <w:rPr>
                <w:rFonts w:ascii="Arial" w:hAnsi="Arial" w:cs="Arial"/>
                <w:b/>
                <w:bCs/>
                <w:color w:val="000000"/>
                <w:sz w:val="20"/>
                <w:szCs w:val="20"/>
              </w:rPr>
            </w:pPr>
            <w:r w:rsidRPr="004A6B96">
              <w:rPr>
                <w:rFonts w:ascii="Arial" w:hAnsi="Arial" w:cs="Arial"/>
                <w:b/>
                <w:bCs/>
                <w:color w:val="000000"/>
                <w:sz w:val="20"/>
                <w:szCs w:val="20"/>
              </w:rPr>
              <w:t>Nbre de réseau</w:t>
            </w:r>
            <w:r>
              <w:rPr>
                <w:rFonts w:ascii="Arial" w:hAnsi="Arial" w:cs="Arial"/>
                <w:b/>
                <w:bCs/>
                <w:color w:val="000000"/>
                <w:sz w:val="20"/>
                <w:szCs w:val="20"/>
              </w:rPr>
              <w:t xml:space="preserve"> GFS</w:t>
            </w:r>
          </w:p>
        </w:tc>
        <w:tc>
          <w:tcPr>
            <w:tcW w:w="2880" w:type="dxa"/>
            <w:shd w:val="clear" w:color="D9E7FD" w:fill="D9E7FD"/>
            <w:noWrap/>
            <w:vAlign w:val="bottom"/>
            <w:hideMark/>
          </w:tcPr>
          <w:p w14:paraId="6F00C43F" w14:textId="504E3885" w:rsidR="004A6B96" w:rsidRPr="004A6B96" w:rsidRDefault="004A6B96" w:rsidP="004A6B96">
            <w:pPr>
              <w:rPr>
                <w:rFonts w:ascii="Arial" w:hAnsi="Arial" w:cs="Arial"/>
                <w:b/>
                <w:bCs/>
                <w:color w:val="000000"/>
                <w:sz w:val="20"/>
                <w:szCs w:val="20"/>
              </w:rPr>
            </w:pPr>
            <w:r w:rsidRPr="004A6B96">
              <w:rPr>
                <w:rFonts w:ascii="Arial" w:hAnsi="Arial" w:cs="Arial"/>
                <w:b/>
                <w:bCs/>
                <w:color w:val="000000"/>
                <w:sz w:val="20"/>
                <w:szCs w:val="20"/>
              </w:rPr>
              <w:t>Nbre Groupement</w:t>
            </w:r>
          </w:p>
        </w:tc>
      </w:tr>
      <w:tr w:rsidR="004A6B96" w:rsidRPr="004A6B96" w14:paraId="1B5DB558" w14:textId="77777777" w:rsidTr="00F41027">
        <w:trPr>
          <w:trHeight w:val="264"/>
          <w:jc w:val="center"/>
        </w:trPr>
        <w:tc>
          <w:tcPr>
            <w:tcW w:w="2220" w:type="dxa"/>
            <w:shd w:val="clear" w:color="auto" w:fill="auto"/>
            <w:noWrap/>
            <w:vAlign w:val="center"/>
            <w:hideMark/>
          </w:tcPr>
          <w:p w14:paraId="36ED077C" w14:textId="77777777" w:rsidR="004A6B96" w:rsidRPr="004A6B96" w:rsidRDefault="004A6B96" w:rsidP="001815C2">
            <w:pPr>
              <w:rPr>
                <w:rFonts w:ascii="Arial" w:hAnsi="Arial" w:cs="Arial"/>
                <w:b/>
                <w:bCs/>
                <w:color w:val="000000"/>
                <w:sz w:val="20"/>
                <w:szCs w:val="20"/>
              </w:rPr>
            </w:pPr>
            <w:r w:rsidRPr="004A6B96">
              <w:rPr>
                <w:rFonts w:ascii="Arial" w:hAnsi="Arial" w:cs="Arial"/>
                <w:b/>
                <w:bCs/>
                <w:color w:val="000000"/>
                <w:sz w:val="20"/>
                <w:szCs w:val="20"/>
              </w:rPr>
              <w:t>Maradi</w:t>
            </w:r>
          </w:p>
        </w:tc>
        <w:tc>
          <w:tcPr>
            <w:tcW w:w="2360" w:type="dxa"/>
            <w:shd w:val="clear" w:color="auto" w:fill="auto"/>
            <w:noWrap/>
            <w:vAlign w:val="center"/>
            <w:hideMark/>
          </w:tcPr>
          <w:p w14:paraId="3E44FF35" w14:textId="77777777" w:rsidR="004A6B96" w:rsidRPr="004A6B96" w:rsidRDefault="004A6B96" w:rsidP="001815C2">
            <w:pPr>
              <w:jc w:val="right"/>
              <w:rPr>
                <w:rFonts w:ascii="Arial" w:hAnsi="Arial" w:cs="Arial"/>
                <w:b/>
                <w:bCs/>
                <w:color w:val="000000"/>
                <w:sz w:val="20"/>
                <w:szCs w:val="20"/>
              </w:rPr>
            </w:pPr>
            <w:r w:rsidRPr="004A6B96">
              <w:rPr>
                <w:rFonts w:ascii="Arial" w:hAnsi="Arial" w:cs="Arial"/>
                <w:b/>
                <w:bCs/>
                <w:color w:val="000000"/>
                <w:sz w:val="20"/>
                <w:szCs w:val="20"/>
              </w:rPr>
              <w:t>8</w:t>
            </w:r>
          </w:p>
        </w:tc>
        <w:tc>
          <w:tcPr>
            <w:tcW w:w="2880" w:type="dxa"/>
            <w:shd w:val="clear" w:color="auto" w:fill="auto"/>
            <w:noWrap/>
            <w:vAlign w:val="center"/>
            <w:hideMark/>
          </w:tcPr>
          <w:p w14:paraId="77FF61F4" w14:textId="77777777" w:rsidR="004A6B96" w:rsidRPr="004A6B96" w:rsidRDefault="004A6B96" w:rsidP="001815C2">
            <w:pPr>
              <w:jc w:val="right"/>
              <w:rPr>
                <w:rFonts w:ascii="Arial" w:hAnsi="Arial" w:cs="Arial"/>
                <w:b/>
                <w:bCs/>
                <w:color w:val="000000"/>
                <w:sz w:val="20"/>
                <w:szCs w:val="20"/>
              </w:rPr>
            </w:pPr>
            <w:r w:rsidRPr="004A6B96">
              <w:rPr>
                <w:rFonts w:ascii="Arial" w:hAnsi="Arial" w:cs="Arial"/>
                <w:b/>
                <w:bCs/>
                <w:color w:val="000000"/>
                <w:sz w:val="20"/>
                <w:szCs w:val="20"/>
              </w:rPr>
              <w:t>47</w:t>
            </w:r>
          </w:p>
        </w:tc>
      </w:tr>
      <w:tr w:rsidR="004A6B96" w:rsidRPr="004A6B96" w14:paraId="254DEA20" w14:textId="77777777" w:rsidTr="00F41027">
        <w:trPr>
          <w:trHeight w:val="264"/>
          <w:jc w:val="center"/>
        </w:trPr>
        <w:tc>
          <w:tcPr>
            <w:tcW w:w="2220" w:type="dxa"/>
            <w:shd w:val="clear" w:color="auto" w:fill="auto"/>
            <w:noWrap/>
            <w:vAlign w:val="center"/>
            <w:hideMark/>
          </w:tcPr>
          <w:p w14:paraId="7502B36D" w14:textId="2A021503" w:rsidR="004A6B96" w:rsidRPr="004A6B96" w:rsidRDefault="004A6B96" w:rsidP="001815C2">
            <w:pPr>
              <w:ind w:firstLineChars="100" w:firstLine="200"/>
              <w:rPr>
                <w:rFonts w:ascii="Arial" w:hAnsi="Arial" w:cs="Arial"/>
                <w:color w:val="000000"/>
                <w:sz w:val="20"/>
                <w:szCs w:val="20"/>
              </w:rPr>
            </w:pPr>
            <w:proofErr w:type="spellStart"/>
            <w:r w:rsidRPr="004A6B96">
              <w:rPr>
                <w:rFonts w:ascii="Arial" w:hAnsi="Arial" w:cs="Arial"/>
                <w:color w:val="000000"/>
                <w:sz w:val="20"/>
                <w:szCs w:val="20"/>
              </w:rPr>
              <w:t>Guidan</w:t>
            </w:r>
            <w:proofErr w:type="spellEnd"/>
            <w:r w:rsidR="006C6ED5">
              <w:rPr>
                <w:rFonts w:ascii="Arial" w:hAnsi="Arial" w:cs="Arial"/>
                <w:color w:val="000000"/>
                <w:sz w:val="20"/>
                <w:szCs w:val="20"/>
              </w:rPr>
              <w:t xml:space="preserve"> </w:t>
            </w:r>
            <w:proofErr w:type="spellStart"/>
            <w:r w:rsidRPr="004A6B96">
              <w:rPr>
                <w:rFonts w:ascii="Arial" w:hAnsi="Arial" w:cs="Arial"/>
                <w:color w:val="000000"/>
                <w:sz w:val="20"/>
                <w:szCs w:val="20"/>
              </w:rPr>
              <w:t>Roumdji</w:t>
            </w:r>
            <w:proofErr w:type="spellEnd"/>
          </w:p>
        </w:tc>
        <w:tc>
          <w:tcPr>
            <w:tcW w:w="2360" w:type="dxa"/>
            <w:shd w:val="clear" w:color="auto" w:fill="auto"/>
            <w:noWrap/>
            <w:vAlign w:val="center"/>
            <w:hideMark/>
          </w:tcPr>
          <w:p w14:paraId="03AA613A"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3</w:t>
            </w:r>
          </w:p>
        </w:tc>
        <w:tc>
          <w:tcPr>
            <w:tcW w:w="2880" w:type="dxa"/>
            <w:shd w:val="clear" w:color="auto" w:fill="auto"/>
            <w:noWrap/>
            <w:vAlign w:val="center"/>
            <w:hideMark/>
          </w:tcPr>
          <w:p w14:paraId="3A608EAA"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16</w:t>
            </w:r>
          </w:p>
        </w:tc>
      </w:tr>
      <w:tr w:rsidR="004A6B96" w:rsidRPr="004A6B96" w14:paraId="73F27743" w14:textId="77777777" w:rsidTr="00F41027">
        <w:trPr>
          <w:trHeight w:val="264"/>
          <w:jc w:val="center"/>
        </w:trPr>
        <w:tc>
          <w:tcPr>
            <w:tcW w:w="2220" w:type="dxa"/>
            <w:shd w:val="clear" w:color="auto" w:fill="auto"/>
            <w:noWrap/>
            <w:vAlign w:val="center"/>
            <w:hideMark/>
          </w:tcPr>
          <w:p w14:paraId="391B8359" w14:textId="77777777" w:rsidR="004A6B96" w:rsidRPr="004A6B96" w:rsidRDefault="004A6B96" w:rsidP="001815C2">
            <w:pPr>
              <w:ind w:firstLineChars="100" w:firstLine="200"/>
              <w:rPr>
                <w:rFonts w:ascii="Arial" w:hAnsi="Arial" w:cs="Arial"/>
                <w:color w:val="000000"/>
                <w:sz w:val="20"/>
                <w:szCs w:val="20"/>
              </w:rPr>
            </w:pPr>
            <w:r w:rsidRPr="004A6B96">
              <w:rPr>
                <w:rFonts w:ascii="Arial" w:hAnsi="Arial" w:cs="Arial"/>
                <w:color w:val="000000"/>
                <w:sz w:val="20"/>
                <w:szCs w:val="20"/>
              </w:rPr>
              <w:t>Tessaoua</w:t>
            </w:r>
          </w:p>
        </w:tc>
        <w:tc>
          <w:tcPr>
            <w:tcW w:w="2360" w:type="dxa"/>
            <w:shd w:val="clear" w:color="auto" w:fill="auto"/>
            <w:noWrap/>
            <w:vAlign w:val="center"/>
            <w:hideMark/>
          </w:tcPr>
          <w:p w14:paraId="6F8AD03C"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5</w:t>
            </w:r>
          </w:p>
        </w:tc>
        <w:tc>
          <w:tcPr>
            <w:tcW w:w="2880" w:type="dxa"/>
            <w:shd w:val="clear" w:color="auto" w:fill="auto"/>
            <w:noWrap/>
            <w:vAlign w:val="center"/>
            <w:hideMark/>
          </w:tcPr>
          <w:p w14:paraId="3B638502"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31</w:t>
            </w:r>
          </w:p>
        </w:tc>
      </w:tr>
      <w:tr w:rsidR="004A6B96" w:rsidRPr="004A6B96" w14:paraId="6C0CB961" w14:textId="77777777" w:rsidTr="00F41027">
        <w:trPr>
          <w:trHeight w:val="264"/>
          <w:jc w:val="center"/>
        </w:trPr>
        <w:tc>
          <w:tcPr>
            <w:tcW w:w="2220" w:type="dxa"/>
            <w:shd w:val="clear" w:color="auto" w:fill="auto"/>
            <w:noWrap/>
            <w:vAlign w:val="center"/>
            <w:hideMark/>
          </w:tcPr>
          <w:p w14:paraId="37D647DE" w14:textId="77777777" w:rsidR="004A6B96" w:rsidRPr="004A6B96" w:rsidRDefault="004A6B96" w:rsidP="001815C2">
            <w:pPr>
              <w:rPr>
                <w:rFonts w:ascii="Arial" w:hAnsi="Arial" w:cs="Arial"/>
                <w:b/>
                <w:bCs/>
                <w:color w:val="000000"/>
                <w:sz w:val="20"/>
                <w:szCs w:val="20"/>
              </w:rPr>
            </w:pPr>
            <w:r w:rsidRPr="004A6B96">
              <w:rPr>
                <w:rFonts w:ascii="Arial" w:hAnsi="Arial" w:cs="Arial"/>
                <w:b/>
                <w:bCs/>
                <w:color w:val="000000"/>
                <w:sz w:val="20"/>
                <w:szCs w:val="20"/>
              </w:rPr>
              <w:t>Tahoua</w:t>
            </w:r>
          </w:p>
        </w:tc>
        <w:tc>
          <w:tcPr>
            <w:tcW w:w="2360" w:type="dxa"/>
            <w:shd w:val="clear" w:color="auto" w:fill="auto"/>
            <w:noWrap/>
            <w:vAlign w:val="center"/>
            <w:hideMark/>
          </w:tcPr>
          <w:p w14:paraId="328FD34F" w14:textId="77777777" w:rsidR="004A6B96" w:rsidRPr="004A6B96" w:rsidRDefault="004A6B96" w:rsidP="001815C2">
            <w:pPr>
              <w:jc w:val="right"/>
              <w:rPr>
                <w:rFonts w:ascii="Arial" w:hAnsi="Arial" w:cs="Arial"/>
                <w:b/>
                <w:bCs/>
                <w:color w:val="000000"/>
                <w:sz w:val="20"/>
                <w:szCs w:val="20"/>
              </w:rPr>
            </w:pPr>
            <w:r w:rsidRPr="004A6B96">
              <w:rPr>
                <w:rFonts w:ascii="Arial" w:hAnsi="Arial" w:cs="Arial"/>
                <w:b/>
                <w:bCs/>
                <w:color w:val="000000"/>
                <w:sz w:val="20"/>
                <w:szCs w:val="20"/>
              </w:rPr>
              <w:t>8</w:t>
            </w:r>
          </w:p>
        </w:tc>
        <w:tc>
          <w:tcPr>
            <w:tcW w:w="2880" w:type="dxa"/>
            <w:shd w:val="clear" w:color="auto" w:fill="auto"/>
            <w:noWrap/>
            <w:vAlign w:val="center"/>
            <w:hideMark/>
          </w:tcPr>
          <w:p w14:paraId="52AA585D" w14:textId="77777777" w:rsidR="004A6B96" w:rsidRPr="004A6B96" w:rsidRDefault="004A6B96" w:rsidP="001815C2">
            <w:pPr>
              <w:jc w:val="right"/>
              <w:rPr>
                <w:rFonts w:ascii="Arial" w:hAnsi="Arial" w:cs="Arial"/>
                <w:b/>
                <w:bCs/>
                <w:color w:val="000000"/>
                <w:sz w:val="20"/>
                <w:szCs w:val="20"/>
              </w:rPr>
            </w:pPr>
            <w:r w:rsidRPr="004A6B96">
              <w:rPr>
                <w:rFonts w:ascii="Arial" w:hAnsi="Arial" w:cs="Arial"/>
                <w:b/>
                <w:bCs/>
                <w:color w:val="000000"/>
                <w:sz w:val="20"/>
                <w:szCs w:val="20"/>
              </w:rPr>
              <w:t>53</w:t>
            </w:r>
          </w:p>
        </w:tc>
      </w:tr>
      <w:tr w:rsidR="004A6B96" w:rsidRPr="004A6B96" w14:paraId="238937BC" w14:textId="77777777" w:rsidTr="00F41027">
        <w:trPr>
          <w:trHeight w:val="264"/>
          <w:jc w:val="center"/>
        </w:trPr>
        <w:tc>
          <w:tcPr>
            <w:tcW w:w="2220" w:type="dxa"/>
            <w:shd w:val="clear" w:color="auto" w:fill="auto"/>
            <w:noWrap/>
            <w:vAlign w:val="center"/>
            <w:hideMark/>
          </w:tcPr>
          <w:p w14:paraId="3F30B706" w14:textId="77777777" w:rsidR="004A6B96" w:rsidRPr="004A6B96" w:rsidRDefault="004A6B96" w:rsidP="001815C2">
            <w:pPr>
              <w:ind w:firstLineChars="100" w:firstLine="200"/>
              <w:rPr>
                <w:rFonts w:ascii="Arial" w:hAnsi="Arial" w:cs="Arial"/>
                <w:color w:val="000000"/>
                <w:sz w:val="20"/>
                <w:szCs w:val="20"/>
              </w:rPr>
            </w:pPr>
            <w:proofErr w:type="spellStart"/>
            <w:r w:rsidRPr="004A6B96">
              <w:rPr>
                <w:rFonts w:ascii="Arial" w:hAnsi="Arial" w:cs="Arial"/>
                <w:color w:val="000000"/>
                <w:sz w:val="20"/>
                <w:szCs w:val="20"/>
              </w:rPr>
              <w:t>Badaguichiri</w:t>
            </w:r>
            <w:proofErr w:type="spellEnd"/>
          </w:p>
        </w:tc>
        <w:tc>
          <w:tcPr>
            <w:tcW w:w="2360" w:type="dxa"/>
            <w:shd w:val="clear" w:color="auto" w:fill="auto"/>
            <w:noWrap/>
            <w:vAlign w:val="center"/>
            <w:hideMark/>
          </w:tcPr>
          <w:p w14:paraId="4AEA3387"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4</w:t>
            </w:r>
          </w:p>
        </w:tc>
        <w:tc>
          <w:tcPr>
            <w:tcW w:w="2880" w:type="dxa"/>
            <w:shd w:val="clear" w:color="auto" w:fill="auto"/>
            <w:noWrap/>
            <w:vAlign w:val="center"/>
            <w:hideMark/>
          </w:tcPr>
          <w:p w14:paraId="15C78D6C"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31</w:t>
            </w:r>
          </w:p>
        </w:tc>
      </w:tr>
      <w:tr w:rsidR="004A6B96" w:rsidRPr="004A6B96" w14:paraId="5E24CC49" w14:textId="77777777" w:rsidTr="00F41027">
        <w:trPr>
          <w:trHeight w:val="264"/>
          <w:jc w:val="center"/>
        </w:trPr>
        <w:tc>
          <w:tcPr>
            <w:tcW w:w="2220" w:type="dxa"/>
            <w:shd w:val="clear" w:color="auto" w:fill="auto"/>
            <w:noWrap/>
            <w:vAlign w:val="center"/>
            <w:hideMark/>
          </w:tcPr>
          <w:p w14:paraId="622BF66B" w14:textId="77777777" w:rsidR="004A6B96" w:rsidRPr="004A6B96" w:rsidRDefault="004A6B96" w:rsidP="001815C2">
            <w:pPr>
              <w:ind w:firstLineChars="100" w:firstLine="200"/>
              <w:rPr>
                <w:rFonts w:ascii="Arial" w:hAnsi="Arial" w:cs="Arial"/>
                <w:color w:val="000000"/>
                <w:sz w:val="20"/>
                <w:szCs w:val="20"/>
              </w:rPr>
            </w:pPr>
            <w:r w:rsidRPr="004A6B96">
              <w:rPr>
                <w:rFonts w:ascii="Arial" w:hAnsi="Arial" w:cs="Arial"/>
                <w:color w:val="000000"/>
                <w:sz w:val="20"/>
                <w:szCs w:val="20"/>
              </w:rPr>
              <w:t>Karofane</w:t>
            </w:r>
          </w:p>
        </w:tc>
        <w:tc>
          <w:tcPr>
            <w:tcW w:w="2360" w:type="dxa"/>
            <w:shd w:val="clear" w:color="auto" w:fill="auto"/>
            <w:noWrap/>
            <w:vAlign w:val="center"/>
            <w:hideMark/>
          </w:tcPr>
          <w:p w14:paraId="4B995FE1"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2</w:t>
            </w:r>
          </w:p>
        </w:tc>
        <w:tc>
          <w:tcPr>
            <w:tcW w:w="2880" w:type="dxa"/>
            <w:shd w:val="clear" w:color="auto" w:fill="auto"/>
            <w:noWrap/>
            <w:vAlign w:val="center"/>
            <w:hideMark/>
          </w:tcPr>
          <w:p w14:paraId="560021FD"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12</w:t>
            </w:r>
          </w:p>
        </w:tc>
      </w:tr>
      <w:tr w:rsidR="004A6B96" w:rsidRPr="004A6B96" w14:paraId="3AA47A46" w14:textId="77777777" w:rsidTr="00F41027">
        <w:trPr>
          <w:trHeight w:val="264"/>
          <w:jc w:val="center"/>
        </w:trPr>
        <w:tc>
          <w:tcPr>
            <w:tcW w:w="2220" w:type="dxa"/>
            <w:shd w:val="clear" w:color="auto" w:fill="auto"/>
            <w:noWrap/>
            <w:vAlign w:val="center"/>
            <w:hideMark/>
          </w:tcPr>
          <w:p w14:paraId="44BE0381" w14:textId="77777777" w:rsidR="004A6B96" w:rsidRPr="004A6B96" w:rsidRDefault="004A6B96" w:rsidP="001815C2">
            <w:pPr>
              <w:ind w:firstLineChars="100" w:firstLine="200"/>
              <w:rPr>
                <w:rFonts w:ascii="Arial" w:hAnsi="Arial" w:cs="Arial"/>
                <w:color w:val="000000"/>
                <w:sz w:val="20"/>
                <w:szCs w:val="20"/>
              </w:rPr>
            </w:pPr>
            <w:r w:rsidRPr="004A6B96">
              <w:rPr>
                <w:rFonts w:ascii="Arial" w:hAnsi="Arial" w:cs="Arial"/>
                <w:color w:val="000000"/>
                <w:sz w:val="20"/>
                <w:szCs w:val="20"/>
              </w:rPr>
              <w:t>Tounfafi</w:t>
            </w:r>
          </w:p>
        </w:tc>
        <w:tc>
          <w:tcPr>
            <w:tcW w:w="2360" w:type="dxa"/>
            <w:shd w:val="clear" w:color="auto" w:fill="auto"/>
            <w:noWrap/>
            <w:vAlign w:val="center"/>
            <w:hideMark/>
          </w:tcPr>
          <w:p w14:paraId="489956C9"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2</w:t>
            </w:r>
          </w:p>
        </w:tc>
        <w:tc>
          <w:tcPr>
            <w:tcW w:w="2880" w:type="dxa"/>
            <w:shd w:val="clear" w:color="auto" w:fill="auto"/>
            <w:noWrap/>
            <w:vAlign w:val="center"/>
            <w:hideMark/>
          </w:tcPr>
          <w:p w14:paraId="3DA33E94"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10</w:t>
            </w:r>
          </w:p>
        </w:tc>
      </w:tr>
      <w:tr w:rsidR="004A6B96" w:rsidRPr="004A6B96" w14:paraId="106C3A0B" w14:textId="77777777" w:rsidTr="00F41027">
        <w:trPr>
          <w:trHeight w:val="264"/>
          <w:jc w:val="center"/>
        </w:trPr>
        <w:tc>
          <w:tcPr>
            <w:tcW w:w="2220" w:type="dxa"/>
            <w:shd w:val="clear" w:color="auto" w:fill="auto"/>
            <w:noWrap/>
            <w:vAlign w:val="center"/>
            <w:hideMark/>
          </w:tcPr>
          <w:p w14:paraId="52F3A658" w14:textId="77777777" w:rsidR="004A6B96" w:rsidRPr="004A6B96" w:rsidRDefault="004A6B96" w:rsidP="001815C2">
            <w:pPr>
              <w:rPr>
                <w:rFonts w:ascii="Arial" w:hAnsi="Arial" w:cs="Arial"/>
                <w:b/>
                <w:bCs/>
                <w:color w:val="000000"/>
                <w:sz w:val="20"/>
                <w:szCs w:val="20"/>
              </w:rPr>
            </w:pPr>
            <w:r w:rsidRPr="004A6B96">
              <w:rPr>
                <w:rFonts w:ascii="Arial" w:hAnsi="Arial" w:cs="Arial"/>
                <w:b/>
                <w:bCs/>
                <w:color w:val="000000"/>
                <w:sz w:val="20"/>
                <w:szCs w:val="20"/>
              </w:rPr>
              <w:t>Zinder</w:t>
            </w:r>
          </w:p>
        </w:tc>
        <w:tc>
          <w:tcPr>
            <w:tcW w:w="2360" w:type="dxa"/>
            <w:shd w:val="clear" w:color="auto" w:fill="auto"/>
            <w:noWrap/>
            <w:vAlign w:val="center"/>
            <w:hideMark/>
          </w:tcPr>
          <w:p w14:paraId="684172C8" w14:textId="77777777" w:rsidR="004A6B96" w:rsidRPr="004A6B96" w:rsidRDefault="004A6B96" w:rsidP="001815C2">
            <w:pPr>
              <w:jc w:val="right"/>
              <w:rPr>
                <w:rFonts w:ascii="Arial" w:hAnsi="Arial" w:cs="Arial"/>
                <w:b/>
                <w:bCs/>
                <w:color w:val="000000"/>
                <w:sz w:val="20"/>
                <w:szCs w:val="20"/>
              </w:rPr>
            </w:pPr>
            <w:r w:rsidRPr="004A6B96">
              <w:rPr>
                <w:rFonts w:ascii="Arial" w:hAnsi="Arial" w:cs="Arial"/>
                <w:b/>
                <w:bCs/>
                <w:color w:val="000000"/>
                <w:sz w:val="20"/>
                <w:szCs w:val="20"/>
              </w:rPr>
              <w:t>8</w:t>
            </w:r>
          </w:p>
        </w:tc>
        <w:tc>
          <w:tcPr>
            <w:tcW w:w="2880" w:type="dxa"/>
            <w:shd w:val="clear" w:color="auto" w:fill="auto"/>
            <w:noWrap/>
            <w:vAlign w:val="center"/>
            <w:hideMark/>
          </w:tcPr>
          <w:p w14:paraId="31DD4351" w14:textId="77777777" w:rsidR="004A6B96" w:rsidRPr="004A6B96" w:rsidRDefault="004A6B96" w:rsidP="001815C2">
            <w:pPr>
              <w:jc w:val="right"/>
              <w:rPr>
                <w:rFonts w:ascii="Arial" w:hAnsi="Arial" w:cs="Arial"/>
                <w:b/>
                <w:bCs/>
                <w:color w:val="000000"/>
                <w:sz w:val="20"/>
                <w:szCs w:val="20"/>
              </w:rPr>
            </w:pPr>
            <w:r w:rsidRPr="004A6B96">
              <w:rPr>
                <w:rFonts w:ascii="Arial" w:hAnsi="Arial" w:cs="Arial"/>
                <w:b/>
                <w:bCs/>
                <w:color w:val="000000"/>
                <w:sz w:val="20"/>
                <w:szCs w:val="20"/>
              </w:rPr>
              <w:t>47</w:t>
            </w:r>
          </w:p>
        </w:tc>
      </w:tr>
      <w:tr w:rsidR="004A6B96" w:rsidRPr="004A6B96" w14:paraId="19460311" w14:textId="77777777" w:rsidTr="00F41027">
        <w:trPr>
          <w:trHeight w:val="264"/>
          <w:jc w:val="center"/>
        </w:trPr>
        <w:tc>
          <w:tcPr>
            <w:tcW w:w="2220" w:type="dxa"/>
            <w:shd w:val="clear" w:color="auto" w:fill="auto"/>
            <w:noWrap/>
            <w:vAlign w:val="center"/>
            <w:hideMark/>
          </w:tcPr>
          <w:p w14:paraId="22FB73A4" w14:textId="77777777" w:rsidR="004A6B96" w:rsidRPr="004A6B96" w:rsidRDefault="004A6B96" w:rsidP="001815C2">
            <w:pPr>
              <w:ind w:firstLineChars="100" w:firstLine="200"/>
              <w:rPr>
                <w:rFonts w:ascii="Arial" w:hAnsi="Arial" w:cs="Arial"/>
                <w:color w:val="000000"/>
                <w:sz w:val="20"/>
                <w:szCs w:val="20"/>
              </w:rPr>
            </w:pPr>
            <w:r w:rsidRPr="004A6B96">
              <w:rPr>
                <w:rFonts w:ascii="Arial" w:hAnsi="Arial" w:cs="Arial"/>
                <w:color w:val="000000"/>
                <w:sz w:val="20"/>
                <w:szCs w:val="20"/>
              </w:rPr>
              <w:t>Bande</w:t>
            </w:r>
          </w:p>
        </w:tc>
        <w:tc>
          <w:tcPr>
            <w:tcW w:w="2360" w:type="dxa"/>
            <w:shd w:val="clear" w:color="auto" w:fill="auto"/>
            <w:noWrap/>
            <w:vAlign w:val="center"/>
            <w:hideMark/>
          </w:tcPr>
          <w:p w14:paraId="23902489"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2</w:t>
            </w:r>
          </w:p>
        </w:tc>
        <w:tc>
          <w:tcPr>
            <w:tcW w:w="2880" w:type="dxa"/>
            <w:shd w:val="clear" w:color="auto" w:fill="auto"/>
            <w:noWrap/>
            <w:vAlign w:val="center"/>
            <w:hideMark/>
          </w:tcPr>
          <w:p w14:paraId="6BD659F5"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7</w:t>
            </w:r>
          </w:p>
        </w:tc>
      </w:tr>
      <w:tr w:rsidR="004A6B96" w:rsidRPr="004A6B96" w14:paraId="6533463A" w14:textId="77777777" w:rsidTr="00F41027">
        <w:trPr>
          <w:trHeight w:val="264"/>
          <w:jc w:val="center"/>
        </w:trPr>
        <w:tc>
          <w:tcPr>
            <w:tcW w:w="2220" w:type="dxa"/>
            <w:shd w:val="clear" w:color="auto" w:fill="auto"/>
            <w:noWrap/>
            <w:vAlign w:val="center"/>
            <w:hideMark/>
          </w:tcPr>
          <w:p w14:paraId="2DF06EC8" w14:textId="77777777" w:rsidR="004A6B96" w:rsidRPr="004A6B96" w:rsidRDefault="004A6B96" w:rsidP="001815C2">
            <w:pPr>
              <w:ind w:firstLineChars="100" w:firstLine="200"/>
              <w:rPr>
                <w:rFonts w:ascii="Arial" w:hAnsi="Arial" w:cs="Arial"/>
                <w:color w:val="000000"/>
                <w:sz w:val="20"/>
                <w:szCs w:val="20"/>
              </w:rPr>
            </w:pPr>
            <w:r w:rsidRPr="004A6B96">
              <w:rPr>
                <w:rFonts w:ascii="Arial" w:hAnsi="Arial" w:cs="Arial"/>
                <w:color w:val="000000"/>
                <w:sz w:val="20"/>
                <w:szCs w:val="20"/>
              </w:rPr>
              <w:t>Doungou</w:t>
            </w:r>
          </w:p>
        </w:tc>
        <w:tc>
          <w:tcPr>
            <w:tcW w:w="2360" w:type="dxa"/>
            <w:shd w:val="clear" w:color="auto" w:fill="auto"/>
            <w:noWrap/>
            <w:vAlign w:val="center"/>
            <w:hideMark/>
          </w:tcPr>
          <w:p w14:paraId="7BD6ACB2"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4</w:t>
            </w:r>
          </w:p>
        </w:tc>
        <w:tc>
          <w:tcPr>
            <w:tcW w:w="2880" w:type="dxa"/>
            <w:shd w:val="clear" w:color="auto" w:fill="auto"/>
            <w:noWrap/>
            <w:vAlign w:val="center"/>
            <w:hideMark/>
          </w:tcPr>
          <w:p w14:paraId="75AC11C9"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28</w:t>
            </w:r>
          </w:p>
        </w:tc>
      </w:tr>
      <w:tr w:rsidR="004A6B96" w:rsidRPr="004A6B96" w14:paraId="4F8F3AA8" w14:textId="77777777" w:rsidTr="00F41027">
        <w:trPr>
          <w:trHeight w:val="264"/>
          <w:jc w:val="center"/>
        </w:trPr>
        <w:tc>
          <w:tcPr>
            <w:tcW w:w="2220" w:type="dxa"/>
            <w:shd w:val="clear" w:color="auto" w:fill="auto"/>
            <w:noWrap/>
            <w:vAlign w:val="center"/>
            <w:hideMark/>
          </w:tcPr>
          <w:p w14:paraId="7B1A02CC" w14:textId="77777777" w:rsidR="004A6B96" w:rsidRPr="004A6B96" w:rsidRDefault="004A6B96" w:rsidP="001815C2">
            <w:pPr>
              <w:ind w:firstLineChars="100" w:firstLine="200"/>
              <w:rPr>
                <w:rFonts w:ascii="Arial" w:hAnsi="Arial" w:cs="Arial"/>
                <w:color w:val="000000"/>
                <w:sz w:val="20"/>
                <w:szCs w:val="20"/>
              </w:rPr>
            </w:pPr>
            <w:r w:rsidRPr="004A6B96">
              <w:rPr>
                <w:rFonts w:ascii="Arial" w:hAnsi="Arial" w:cs="Arial"/>
                <w:color w:val="000000"/>
                <w:sz w:val="20"/>
                <w:szCs w:val="20"/>
              </w:rPr>
              <w:t>Guidimouni</w:t>
            </w:r>
          </w:p>
        </w:tc>
        <w:tc>
          <w:tcPr>
            <w:tcW w:w="2360" w:type="dxa"/>
            <w:shd w:val="clear" w:color="auto" w:fill="auto"/>
            <w:noWrap/>
            <w:vAlign w:val="center"/>
            <w:hideMark/>
          </w:tcPr>
          <w:p w14:paraId="2FEA433F"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2</w:t>
            </w:r>
          </w:p>
        </w:tc>
        <w:tc>
          <w:tcPr>
            <w:tcW w:w="2880" w:type="dxa"/>
            <w:shd w:val="clear" w:color="auto" w:fill="auto"/>
            <w:noWrap/>
            <w:vAlign w:val="center"/>
            <w:hideMark/>
          </w:tcPr>
          <w:p w14:paraId="49229A88" w14:textId="77777777" w:rsidR="004A6B96" w:rsidRPr="004A6B96" w:rsidRDefault="004A6B96" w:rsidP="001815C2">
            <w:pPr>
              <w:jc w:val="right"/>
              <w:rPr>
                <w:rFonts w:ascii="Arial" w:hAnsi="Arial" w:cs="Arial"/>
                <w:color w:val="000000"/>
                <w:sz w:val="20"/>
                <w:szCs w:val="20"/>
              </w:rPr>
            </w:pPr>
            <w:r w:rsidRPr="004A6B96">
              <w:rPr>
                <w:rFonts w:ascii="Arial" w:hAnsi="Arial" w:cs="Arial"/>
                <w:color w:val="000000"/>
                <w:sz w:val="20"/>
                <w:szCs w:val="20"/>
              </w:rPr>
              <w:t>12</w:t>
            </w:r>
          </w:p>
        </w:tc>
      </w:tr>
      <w:tr w:rsidR="004A6B96" w:rsidRPr="004A6B96" w14:paraId="01432F30" w14:textId="77777777" w:rsidTr="00F41027">
        <w:trPr>
          <w:trHeight w:val="264"/>
          <w:jc w:val="center"/>
        </w:trPr>
        <w:tc>
          <w:tcPr>
            <w:tcW w:w="2220" w:type="dxa"/>
            <w:shd w:val="clear" w:color="D9E7FD" w:fill="D9E7FD"/>
            <w:noWrap/>
            <w:vAlign w:val="bottom"/>
            <w:hideMark/>
          </w:tcPr>
          <w:p w14:paraId="44CA2469" w14:textId="77777777" w:rsidR="004A6B96" w:rsidRPr="004A6B96" w:rsidRDefault="004A6B96" w:rsidP="004A6B96">
            <w:pPr>
              <w:rPr>
                <w:rFonts w:ascii="Arial" w:hAnsi="Arial" w:cs="Arial"/>
                <w:b/>
                <w:bCs/>
                <w:color w:val="000000"/>
                <w:sz w:val="20"/>
                <w:szCs w:val="20"/>
              </w:rPr>
            </w:pPr>
            <w:r w:rsidRPr="004A6B96">
              <w:rPr>
                <w:rFonts w:ascii="Arial" w:hAnsi="Arial" w:cs="Arial"/>
                <w:b/>
                <w:bCs/>
                <w:color w:val="000000"/>
                <w:sz w:val="20"/>
                <w:szCs w:val="20"/>
              </w:rPr>
              <w:lastRenderedPageBreak/>
              <w:t>Total général</w:t>
            </w:r>
          </w:p>
        </w:tc>
        <w:tc>
          <w:tcPr>
            <w:tcW w:w="2360" w:type="dxa"/>
            <w:shd w:val="clear" w:color="D9E7FD" w:fill="D9E7FD"/>
            <w:noWrap/>
            <w:vAlign w:val="center"/>
            <w:hideMark/>
          </w:tcPr>
          <w:p w14:paraId="19E3A0C5" w14:textId="77777777" w:rsidR="004A6B96" w:rsidRPr="004A6B96" w:rsidRDefault="004A6B96" w:rsidP="001815C2">
            <w:pPr>
              <w:jc w:val="right"/>
              <w:rPr>
                <w:rFonts w:ascii="Arial" w:hAnsi="Arial" w:cs="Arial"/>
                <w:b/>
                <w:bCs/>
                <w:color w:val="000000"/>
                <w:sz w:val="20"/>
                <w:szCs w:val="20"/>
              </w:rPr>
            </w:pPr>
            <w:r w:rsidRPr="004A6B96">
              <w:rPr>
                <w:rFonts w:ascii="Arial" w:hAnsi="Arial" w:cs="Arial"/>
                <w:b/>
                <w:bCs/>
                <w:color w:val="000000"/>
                <w:sz w:val="20"/>
                <w:szCs w:val="20"/>
              </w:rPr>
              <w:t>24</w:t>
            </w:r>
          </w:p>
        </w:tc>
        <w:tc>
          <w:tcPr>
            <w:tcW w:w="2880" w:type="dxa"/>
            <w:shd w:val="clear" w:color="D9E7FD" w:fill="D9E7FD"/>
            <w:noWrap/>
            <w:vAlign w:val="center"/>
            <w:hideMark/>
          </w:tcPr>
          <w:p w14:paraId="4C9B6A20" w14:textId="77777777" w:rsidR="004A6B96" w:rsidRPr="004A6B96" w:rsidRDefault="004A6B96" w:rsidP="001815C2">
            <w:pPr>
              <w:jc w:val="right"/>
              <w:rPr>
                <w:rFonts w:ascii="Arial" w:hAnsi="Arial" w:cs="Arial"/>
                <w:b/>
                <w:bCs/>
                <w:color w:val="000000"/>
                <w:sz w:val="20"/>
                <w:szCs w:val="20"/>
              </w:rPr>
            </w:pPr>
            <w:r w:rsidRPr="004A6B96">
              <w:rPr>
                <w:rFonts w:ascii="Arial" w:hAnsi="Arial" w:cs="Arial"/>
                <w:b/>
                <w:bCs/>
                <w:color w:val="000000"/>
                <w:sz w:val="20"/>
                <w:szCs w:val="20"/>
              </w:rPr>
              <w:t>147</w:t>
            </w:r>
          </w:p>
        </w:tc>
      </w:tr>
    </w:tbl>
    <w:p w14:paraId="59A57C1B" w14:textId="077481C5" w:rsidR="000E18CE" w:rsidRPr="007B5322" w:rsidRDefault="000D4946" w:rsidP="007B5322">
      <w:pPr>
        <w:tabs>
          <w:tab w:val="left" w:pos="4402"/>
        </w:tabs>
        <w:spacing w:line="276" w:lineRule="auto"/>
        <w:jc w:val="both"/>
        <w:rPr>
          <w:rFonts w:ascii="Arial" w:hAnsi="Arial" w:cs="Arial"/>
          <w:sz w:val="18"/>
          <w:szCs w:val="18"/>
        </w:rPr>
      </w:pPr>
      <w:r w:rsidRPr="007B5322">
        <w:rPr>
          <w:rFonts w:ascii="Arial" w:hAnsi="Arial" w:cs="Arial"/>
          <w:sz w:val="18"/>
          <w:szCs w:val="18"/>
        </w:rPr>
        <w:t xml:space="preserve">             </w:t>
      </w:r>
      <w:r w:rsidR="0038398D">
        <w:rPr>
          <w:rFonts w:ascii="Arial" w:hAnsi="Arial" w:cs="Arial"/>
          <w:sz w:val="18"/>
          <w:szCs w:val="18"/>
        </w:rPr>
        <w:t xml:space="preserve">  </w:t>
      </w:r>
      <w:r w:rsidR="000E18CE" w:rsidRPr="007B5322">
        <w:rPr>
          <w:rFonts w:ascii="Arial" w:hAnsi="Arial" w:cs="Arial"/>
          <w:sz w:val="18"/>
          <w:szCs w:val="18"/>
        </w:rPr>
        <w:t>Source : Enquête terrain, septembre 2021</w:t>
      </w:r>
    </w:p>
    <w:p w14:paraId="5B30AC6E" w14:textId="48F3FBF8" w:rsidR="003F0F3B" w:rsidRPr="007B5322" w:rsidRDefault="003F0F3B" w:rsidP="007B5322">
      <w:pPr>
        <w:tabs>
          <w:tab w:val="left" w:pos="4402"/>
        </w:tabs>
        <w:spacing w:before="240" w:line="276" w:lineRule="auto"/>
        <w:jc w:val="both"/>
        <w:rPr>
          <w:rFonts w:ascii="Bookman Old Style" w:hAnsi="Bookman Old Style" w:cs="Arial"/>
        </w:rPr>
      </w:pPr>
      <w:r w:rsidRPr="007B5322">
        <w:rPr>
          <w:rFonts w:ascii="Bookman Old Style" w:hAnsi="Bookman Old Style" w:cs="Arial"/>
        </w:rPr>
        <w:t xml:space="preserve">On constate que </w:t>
      </w:r>
      <w:r w:rsidR="00472858" w:rsidRPr="007B5322">
        <w:rPr>
          <w:rFonts w:ascii="Bookman Old Style" w:hAnsi="Bookman Old Style" w:cs="Arial"/>
        </w:rPr>
        <w:t xml:space="preserve">le PDE de Tessaoua (Maradi) a le plus grand nombre de GFS enquêté (5) suivi des PDE de </w:t>
      </w:r>
      <w:proofErr w:type="spellStart"/>
      <w:r w:rsidR="00472858" w:rsidRPr="007B5322">
        <w:rPr>
          <w:rFonts w:ascii="Bookman Old Style" w:hAnsi="Bookman Old Style" w:cs="Arial"/>
        </w:rPr>
        <w:t>Badaguichiri</w:t>
      </w:r>
      <w:proofErr w:type="spellEnd"/>
      <w:r w:rsidR="00472858" w:rsidRPr="007B5322">
        <w:rPr>
          <w:rFonts w:ascii="Bookman Old Style" w:hAnsi="Bookman Old Style" w:cs="Arial"/>
        </w:rPr>
        <w:t xml:space="preserve"> (Tahoua) et Bandé (Zinder) avec chacun 4 GFS. En dehors de PDE de </w:t>
      </w:r>
      <w:proofErr w:type="spellStart"/>
      <w:r w:rsidR="00472858" w:rsidRPr="007B5322">
        <w:rPr>
          <w:rFonts w:ascii="Bookman Old Style" w:hAnsi="Bookman Old Style" w:cs="Arial"/>
        </w:rPr>
        <w:t>Guidan</w:t>
      </w:r>
      <w:proofErr w:type="spellEnd"/>
      <w:r w:rsidR="00472858" w:rsidRPr="007B5322">
        <w:rPr>
          <w:rFonts w:ascii="Bookman Old Style" w:hAnsi="Bookman Old Style" w:cs="Arial"/>
        </w:rPr>
        <w:t xml:space="preserve"> </w:t>
      </w:r>
      <w:proofErr w:type="spellStart"/>
      <w:r w:rsidR="00472858" w:rsidRPr="007B5322">
        <w:rPr>
          <w:rFonts w:ascii="Bookman Old Style" w:hAnsi="Bookman Old Style" w:cs="Arial"/>
        </w:rPr>
        <w:t>Roumdji</w:t>
      </w:r>
      <w:proofErr w:type="spellEnd"/>
      <w:r w:rsidR="00472858" w:rsidRPr="007B5322">
        <w:rPr>
          <w:rFonts w:ascii="Bookman Old Style" w:hAnsi="Bookman Old Style" w:cs="Arial"/>
        </w:rPr>
        <w:t xml:space="preserve"> avec 3 GFS, pour tous les restes de PDE</w:t>
      </w:r>
      <w:r w:rsidR="004A6B96" w:rsidRPr="007B5322">
        <w:rPr>
          <w:rFonts w:ascii="Bookman Old Style" w:hAnsi="Bookman Old Style" w:cs="Arial"/>
        </w:rPr>
        <w:t xml:space="preserve"> seuls 2 GFS ont été enquêtés. </w:t>
      </w:r>
    </w:p>
    <w:p w14:paraId="593E6EB7" w14:textId="77777777" w:rsidR="008C2FD2" w:rsidRPr="007B5322" w:rsidRDefault="003F0F3B" w:rsidP="007B5322">
      <w:pPr>
        <w:tabs>
          <w:tab w:val="left" w:pos="4402"/>
        </w:tabs>
        <w:spacing w:before="240" w:line="276" w:lineRule="auto"/>
        <w:jc w:val="both"/>
        <w:rPr>
          <w:rFonts w:ascii="Bookman Old Style" w:hAnsi="Bookman Old Style" w:cs="Arial"/>
        </w:rPr>
      </w:pPr>
      <w:r w:rsidRPr="007B5322">
        <w:rPr>
          <w:rFonts w:ascii="Bookman Old Style" w:hAnsi="Bookman Old Style" w:cs="Arial"/>
        </w:rPr>
        <w:t xml:space="preserve">Quant à la situation des groupements au sein de GFS </w:t>
      </w:r>
      <w:r w:rsidR="0029506F" w:rsidRPr="007B5322">
        <w:rPr>
          <w:rFonts w:ascii="Bookman Old Style" w:hAnsi="Bookman Old Style" w:cs="Arial"/>
        </w:rPr>
        <w:t xml:space="preserve">enquêtés </w:t>
      </w:r>
      <w:r w:rsidRPr="007B5322">
        <w:rPr>
          <w:rFonts w:ascii="Bookman Old Style" w:hAnsi="Bookman Old Style" w:cs="Arial"/>
        </w:rPr>
        <w:t xml:space="preserve">et par PDE, on relève que </w:t>
      </w:r>
      <w:r w:rsidR="004A6B96" w:rsidRPr="007B5322">
        <w:rPr>
          <w:rFonts w:ascii="Bookman Old Style" w:hAnsi="Bookman Old Style" w:cs="Arial"/>
        </w:rPr>
        <w:t xml:space="preserve">ces sont PDE de Tessaoua (Maradi) et </w:t>
      </w:r>
      <w:proofErr w:type="spellStart"/>
      <w:r w:rsidR="004A6B96" w:rsidRPr="007B5322">
        <w:rPr>
          <w:rFonts w:ascii="Bookman Old Style" w:hAnsi="Bookman Old Style" w:cs="Arial"/>
        </w:rPr>
        <w:t>Badaguichiri</w:t>
      </w:r>
      <w:proofErr w:type="spellEnd"/>
      <w:r w:rsidR="004A6B96" w:rsidRPr="007B5322">
        <w:rPr>
          <w:rFonts w:ascii="Bookman Old Style" w:hAnsi="Bookman Old Style" w:cs="Arial"/>
        </w:rPr>
        <w:t xml:space="preserve"> (Tahoua) qui ont le plus de groupements avec 31 chacun suivi du PDE de Doungou (28).</w:t>
      </w:r>
      <w:r w:rsidR="0029506F" w:rsidRPr="007B5322">
        <w:rPr>
          <w:rFonts w:ascii="Bookman Old Style" w:hAnsi="Bookman Old Style" w:cs="Arial"/>
        </w:rPr>
        <w:t xml:space="preserve"> Les GFS enquêtés de Karofane, Tou</w:t>
      </w:r>
      <w:r w:rsidR="009763AF" w:rsidRPr="007B5322">
        <w:rPr>
          <w:rFonts w:ascii="Bookman Old Style" w:hAnsi="Bookman Old Style" w:cs="Arial"/>
        </w:rPr>
        <w:t>n</w:t>
      </w:r>
      <w:r w:rsidR="0029506F" w:rsidRPr="007B5322">
        <w:rPr>
          <w:rFonts w:ascii="Bookman Old Style" w:hAnsi="Bookman Old Style" w:cs="Arial"/>
        </w:rPr>
        <w:t>fafi et Bandé regroupe moins de groupement avec respectivement 12, 10 et 7 groupements.</w:t>
      </w:r>
      <w:r w:rsidR="009763AF" w:rsidRPr="007B5322">
        <w:rPr>
          <w:rFonts w:ascii="Bookman Old Style" w:hAnsi="Bookman Old Style" w:cs="Arial"/>
        </w:rPr>
        <w:t xml:space="preserve"> </w:t>
      </w:r>
    </w:p>
    <w:p w14:paraId="35C30580" w14:textId="26409A13" w:rsidR="003F0F3B" w:rsidRPr="007B5322" w:rsidRDefault="008C2FD2" w:rsidP="007B5322">
      <w:pPr>
        <w:tabs>
          <w:tab w:val="left" w:pos="4402"/>
        </w:tabs>
        <w:spacing w:before="240" w:line="276" w:lineRule="auto"/>
        <w:jc w:val="both"/>
        <w:rPr>
          <w:rFonts w:ascii="Bookman Old Style" w:hAnsi="Bookman Old Style" w:cs="Arial"/>
        </w:rPr>
      </w:pPr>
      <w:r w:rsidRPr="007B5322">
        <w:rPr>
          <w:rFonts w:ascii="Bookman Old Style" w:hAnsi="Bookman Old Style" w:cs="Arial"/>
        </w:rPr>
        <w:t>La</w:t>
      </w:r>
      <w:r w:rsidR="009763AF" w:rsidRPr="007B5322">
        <w:rPr>
          <w:rFonts w:ascii="Bookman Old Style" w:hAnsi="Bookman Old Style" w:cs="Arial"/>
        </w:rPr>
        <w:t xml:space="preserve"> moyenne des groupements par GFS enquêtés varie de 8 à 4 </w:t>
      </w:r>
      <w:r w:rsidRPr="007B5322">
        <w:rPr>
          <w:rFonts w:ascii="Bookman Old Style" w:hAnsi="Bookman Old Style" w:cs="Arial"/>
        </w:rPr>
        <w:t xml:space="preserve">respectivement </w:t>
      </w:r>
      <w:proofErr w:type="spellStart"/>
      <w:r w:rsidR="009763AF" w:rsidRPr="007B5322">
        <w:rPr>
          <w:rFonts w:ascii="Bookman Old Style" w:hAnsi="Bookman Old Style" w:cs="Arial"/>
        </w:rPr>
        <w:t>Badaguichiri</w:t>
      </w:r>
      <w:proofErr w:type="spellEnd"/>
      <w:r w:rsidR="009763AF" w:rsidRPr="007B5322">
        <w:rPr>
          <w:rFonts w:ascii="Bookman Old Style" w:hAnsi="Bookman Old Style" w:cs="Arial"/>
        </w:rPr>
        <w:t xml:space="preserve"> et Bandé</w:t>
      </w:r>
      <w:r w:rsidRPr="007B5322">
        <w:rPr>
          <w:rFonts w:ascii="Bookman Old Style" w:hAnsi="Bookman Old Style" w:cs="Arial"/>
        </w:rPr>
        <w:t>.</w:t>
      </w:r>
    </w:p>
    <w:p w14:paraId="2EBE4851" w14:textId="77777777" w:rsidR="00331630" w:rsidRPr="007B5322" w:rsidRDefault="00331630" w:rsidP="00440DCA">
      <w:pPr>
        <w:tabs>
          <w:tab w:val="left" w:pos="4402"/>
        </w:tabs>
        <w:spacing w:line="276" w:lineRule="auto"/>
        <w:jc w:val="both"/>
        <w:rPr>
          <w:rFonts w:ascii="Bookman Old Style" w:hAnsi="Bookman Old Style" w:cs="Arial"/>
        </w:rPr>
      </w:pPr>
    </w:p>
    <w:p w14:paraId="62D58059" w14:textId="35887102" w:rsidR="00A836B9" w:rsidRDefault="00A836B9" w:rsidP="00A836B9">
      <w:pPr>
        <w:tabs>
          <w:tab w:val="left" w:pos="4402"/>
        </w:tabs>
        <w:spacing w:line="276" w:lineRule="auto"/>
        <w:jc w:val="center"/>
        <w:rPr>
          <w:rFonts w:ascii="Bookman Old Style" w:hAnsi="Bookman Old Style" w:cs="Arial"/>
        </w:rPr>
      </w:pPr>
      <w:r>
        <w:rPr>
          <w:noProof/>
        </w:rPr>
        <w:drawing>
          <wp:inline distT="0" distB="0" distL="0" distR="0" wp14:anchorId="29338A5F" wp14:editId="3B4AB07E">
            <wp:extent cx="4587240" cy="2663190"/>
            <wp:effectExtent l="0" t="0" r="3810" b="3810"/>
            <wp:docPr id="12" name="Graphique 12">
              <a:extLst xmlns:a="http://schemas.openxmlformats.org/drawingml/2006/main">
                <a:ext uri="{FF2B5EF4-FFF2-40B4-BE49-F238E27FC236}">
                  <a16:creationId xmlns:a16="http://schemas.microsoft.com/office/drawing/2014/main" id="{68C64E08-6D30-48AA-8315-AF10E8073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792DDD6" w14:textId="514869EA" w:rsidR="000E18CE" w:rsidRPr="000E18CE" w:rsidRDefault="000D4946" w:rsidP="003D37B5">
      <w:pPr>
        <w:pStyle w:val="Lgende"/>
        <w:rPr>
          <w:rFonts w:ascii="Bookman Old Style" w:hAnsi="Bookman Old Style" w:cs="Arial"/>
        </w:rPr>
      </w:pPr>
      <w:r>
        <w:rPr>
          <w:rFonts w:ascii="Bookman Old Style" w:hAnsi="Bookman Old Style" w:cs="Arial"/>
        </w:rPr>
        <w:t xml:space="preserve">               </w:t>
      </w:r>
      <w:r w:rsidR="0038398D">
        <w:rPr>
          <w:rFonts w:ascii="Bookman Old Style" w:hAnsi="Bookman Old Style" w:cs="Arial"/>
        </w:rPr>
        <w:t xml:space="preserve"> </w:t>
      </w:r>
      <w:bookmarkStart w:id="18" w:name="_Toc97823214"/>
      <w:r w:rsidR="004D723C">
        <w:t xml:space="preserve">Figure </w:t>
      </w:r>
      <w:fldSimple w:instr=" SEQ Figure \* ARABIC ">
        <w:r w:rsidR="004F4E33">
          <w:rPr>
            <w:noProof/>
          </w:rPr>
          <w:t>1</w:t>
        </w:r>
      </w:fldSimple>
      <w:r w:rsidR="004D723C">
        <w:t xml:space="preserve"> : </w:t>
      </w:r>
      <w:r w:rsidR="00FC0713">
        <w:t>Situation des groupements MMD par PDE</w:t>
      </w:r>
      <w:bookmarkEnd w:id="18"/>
    </w:p>
    <w:p w14:paraId="29C95857" w14:textId="07A5A6DE" w:rsidR="009763AF" w:rsidRPr="00C21130" w:rsidRDefault="00DA79F9" w:rsidP="00CC71A8">
      <w:pPr>
        <w:pStyle w:val="Titre3"/>
        <w:numPr>
          <w:ilvl w:val="0"/>
          <w:numId w:val="0"/>
        </w:numPr>
        <w:ind w:left="720" w:hanging="720"/>
        <w:rPr>
          <w:rFonts w:ascii="Bookman Old Style" w:hAnsi="Bookman Old Style" w:cs="Arial"/>
          <w:i/>
          <w:iCs/>
        </w:rPr>
      </w:pPr>
      <w:bookmarkStart w:id="19" w:name="_Toc97822353"/>
      <w:r>
        <w:rPr>
          <w:rFonts w:ascii="Bookman Old Style" w:hAnsi="Bookman Old Style" w:cs="Arial"/>
          <w:i/>
          <w:iCs/>
        </w:rPr>
        <w:t>5</w:t>
      </w:r>
      <w:r w:rsidR="00C21130" w:rsidRPr="00C21130">
        <w:rPr>
          <w:rFonts w:ascii="Bookman Old Style" w:hAnsi="Bookman Old Style" w:cs="Arial"/>
          <w:i/>
          <w:iCs/>
        </w:rPr>
        <w:t xml:space="preserve">.1.2. </w:t>
      </w:r>
      <w:r w:rsidR="008C2FD2" w:rsidRPr="00C21130">
        <w:rPr>
          <w:rFonts w:ascii="Bookman Old Style" w:hAnsi="Bookman Old Style" w:cs="Arial"/>
          <w:i/>
          <w:iCs/>
        </w:rPr>
        <w:t>Nombre des membres GFS par Région et par PDE</w:t>
      </w:r>
      <w:bookmarkEnd w:id="19"/>
    </w:p>
    <w:p w14:paraId="54556F93" w14:textId="77777777" w:rsidR="005D098B" w:rsidRDefault="00A1560E" w:rsidP="007B5322">
      <w:pPr>
        <w:tabs>
          <w:tab w:val="left" w:pos="4402"/>
        </w:tabs>
        <w:spacing w:before="240" w:line="276" w:lineRule="auto"/>
        <w:jc w:val="both"/>
        <w:rPr>
          <w:rFonts w:ascii="Bookman Old Style" w:hAnsi="Bookman Old Style" w:cs="Arial"/>
        </w:rPr>
      </w:pPr>
      <w:r>
        <w:rPr>
          <w:rFonts w:ascii="Bookman Old Style" w:hAnsi="Bookman Old Style" w:cs="Arial"/>
        </w:rPr>
        <w:t xml:space="preserve">Les 24 GFS enquêtés dans les Régions de Tahoua, Maradi et Zinder totalisent </w:t>
      </w:r>
      <w:bookmarkStart w:id="20" w:name="_Hlk97805459"/>
      <w:r>
        <w:rPr>
          <w:rFonts w:ascii="Bookman Old Style" w:hAnsi="Bookman Old Style" w:cs="Arial"/>
        </w:rPr>
        <w:t>3669 membres dont 45% à Maradi, 31% à Zinder et 24% à Tahoua</w:t>
      </w:r>
      <w:bookmarkEnd w:id="20"/>
      <w:r>
        <w:rPr>
          <w:rFonts w:ascii="Bookman Old Style" w:hAnsi="Bookman Old Style" w:cs="Arial"/>
        </w:rPr>
        <w:t xml:space="preserve">. </w:t>
      </w:r>
    </w:p>
    <w:p w14:paraId="1DEC2B8E" w14:textId="77777777" w:rsidR="005D098B" w:rsidRDefault="005D098B" w:rsidP="00953C2C">
      <w:pPr>
        <w:tabs>
          <w:tab w:val="left" w:pos="4402"/>
        </w:tabs>
        <w:spacing w:line="276" w:lineRule="auto"/>
        <w:jc w:val="both"/>
        <w:rPr>
          <w:rFonts w:ascii="Bookman Old Style" w:hAnsi="Bookman Old Style" w:cs="Arial"/>
        </w:rPr>
      </w:pPr>
    </w:p>
    <w:p w14:paraId="67113951" w14:textId="2A1ECE76" w:rsidR="005D098B" w:rsidRDefault="005D098B" w:rsidP="00E177B2">
      <w:pPr>
        <w:tabs>
          <w:tab w:val="left" w:pos="4402"/>
        </w:tabs>
        <w:spacing w:line="276" w:lineRule="auto"/>
        <w:jc w:val="center"/>
        <w:rPr>
          <w:rFonts w:ascii="Bookman Old Style" w:hAnsi="Bookman Old Style" w:cs="Arial"/>
        </w:rPr>
      </w:pPr>
      <w:r>
        <w:rPr>
          <w:noProof/>
        </w:rPr>
        <w:lastRenderedPageBreak/>
        <w:drawing>
          <wp:inline distT="0" distB="0" distL="0" distR="0" wp14:anchorId="7AE34574" wp14:editId="7BEC6301">
            <wp:extent cx="4572000" cy="2743200"/>
            <wp:effectExtent l="0" t="0" r="0" b="0"/>
            <wp:docPr id="19" name="Graphique 19">
              <a:extLst xmlns:a="http://schemas.openxmlformats.org/drawingml/2006/main">
                <a:ext uri="{FF2B5EF4-FFF2-40B4-BE49-F238E27FC236}">
                  <a16:creationId xmlns:a16="http://schemas.microsoft.com/office/drawing/2014/main" id="{B5F764CB-E261-42A3-9631-D5DB6DB0B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AFE56C" w14:textId="5E081553" w:rsidR="000E18CE" w:rsidRPr="000E18CE" w:rsidRDefault="000D4946" w:rsidP="003D37B5">
      <w:pPr>
        <w:pStyle w:val="Lgende"/>
        <w:rPr>
          <w:rFonts w:ascii="Bookman Old Style" w:hAnsi="Bookman Old Style" w:cs="Arial"/>
        </w:rPr>
      </w:pPr>
      <w:r>
        <w:rPr>
          <w:rFonts w:ascii="Bookman Old Style" w:hAnsi="Bookman Old Style" w:cs="Arial"/>
        </w:rPr>
        <w:t xml:space="preserve">                </w:t>
      </w:r>
      <w:bookmarkStart w:id="21" w:name="_Toc97823215"/>
      <w:r w:rsidR="00FC0713">
        <w:t xml:space="preserve">Figure </w:t>
      </w:r>
      <w:fldSimple w:instr=" SEQ Figure \* ARABIC ">
        <w:r w:rsidR="004F4E33">
          <w:rPr>
            <w:noProof/>
          </w:rPr>
          <w:t>2</w:t>
        </w:r>
      </w:fldSimple>
      <w:r w:rsidR="00FC0713">
        <w:t> : Nombre de membre GFS par Région</w:t>
      </w:r>
      <w:bookmarkEnd w:id="21"/>
    </w:p>
    <w:p w14:paraId="0242032E" w14:textId="7E16861B" w:rsidR="00A1560E" w:rsidRDefault="00953C2C" w:rsidP="007B5322">
      <w:pPr>
        <w:tabs>
          <w:tab w:val="left" w:pos="4402"/>
        </w:tabs>
        <w:spacing w:before="240" w:line="276" w:lineRule="auto"/>
        <w:jc w:val="both"/>
        <w:rPr>
          <w:rFonts w:ascii="Bookman Old Style" w:hAnsi="Bookman Old Style" w:cs="Arial"/>
        </w:rPr>
      </w:pPr>
      <w:r>
        <w:rPr>
          <w:rFonts w:ascii="Bookman Old Style" w:hAnsi="Bookman Old Style" w:cs="Arial"/>
        </w:rPr>
        <w:t xml:space="preserve">Malgré que les GFS enquêtés de Tahoua ont un plus grand nombre des groupements (73), on constate que c’est à Maradi et Zinder </w:t>
      </w:r>
      <w:r w:rsidR="00904F48">
        <w:rPr>
          <w:rFonts w:ascii="Bookman Old Style" w:hAnsi="Bookman Old Style" w:cs="Arial"/>
        </w:rPr>
        <w:t>qu’</w:t>
      </w:r>
      <w:r>
        <w:rPr>
          <w:rFonts w:ascii="Bookman Old Style" w:hAnsi="Bookman Old Style" w:cs="Arial"/>
        </w:rPr>
        <w:t>il y a plus</w:t>
      </w:r>
      <w:r w:rsidR="00904F48">
        <w:rPr>
          <w:rFonts w:ascii="Bookman Old Style" w:hAnsi="Bookman Old Style" w:cs="Arial"/>
        </w:rPr>
        <w:t xml:space="preserve"> des</w:t>
      </w:r>
      <w:r>
        <w:rPr>
          <w:rFonts w:ascii="Bookman Old Style" w:hAnsi="Bookman Old Style" w:cs="Arial"/>
        </w:rPr>
        <w:t xml:space="preserve"> membres touchés par les GFS avec respectivement 1640 et 1151</w:t>
      </w:r>
      <w:r w:rsidR="00405596">
        <w:rPr>
          <w:rFonts w:ascii="Bookman Old Style" w:hAnsi="Bookman Old Style" w:cs="Arial"/>
        </w:rPr>
        <w:t xml:space="preserve"> femmes membres GFS</w:t>
      </w:r>
      <w:r>
        <w:rPr>
          <w:rFonts w:ascii="Bookman Old Style" w:hAnsi="Bookman Old Style" w:cs="Arial"/>
        </w:rPr>
        <w:t>.</w:t>
      </w:r>
      <w:r w:rsidR="00405596">
        <w:rPr>
          <w:rFonts w:ascii="Bookman Old Style" w:hAnsi="Bookman Old Style" w:cs="Arial"/>
        </w:rPr>
        <w:t xml:space="preserve"> Cela s’explique par le fait qu’à </w:t>
      </w:r>
      <w:proofErr w:type="spellStart"/>
      <w:r w:rsidR="00405596">
        <w:rPr>
          <w:rFonts w:ascii="Bookman Old Style" w:hAnsi="Bookman Old Style" w:cs="Arial"/>
        </w:rPr>
        <w:t>Karofane</w:t>
      </w:r>
      <w:proofErr w:type="spellEnd"/>
      <w:r w:rsidR="00405596">
        <w:rPr>
          <w:rFonts w:ascii="Bookman Old Style" w:hAnsi="Bookman Old Style" w:cs="Arial"/>
        </w:rPr>
        <w:t xml:space="preserve"> et </w:t>
      </w:r>
      <w:proofErr w:type="spellStart"/>
      <w:r w:rsidR="00405596">
        <w:rPr>
          <w:rFonts w:ascii="Bookman Old Style" w:hAnsi="Bookman Old Style" w:cs="Arial"/>
        </w:rPr>
        <w:t>Badaguichiri</w:t>
      </w:r>
      <w:proofErr w:type="spellEnd"/>
      <w:r>
        <w:rPr>
          <w:rFonts w:ascii="Bookman Old Style" w:hAnsi="Bookman Old Style" w:cs="Arial"/>
        </w:rPr>
        <w:t xml:space="preserve"> </w:t>
      </w:r>
      <w:r w:rsidR="00405596">
        <w:rPr>
          <w:rFonts w:ascii="Bookman Old Style" w:hAnsi="Bookman Old Style" w:cs="Arial"/>
        </w:rPr>
        <w:t xml:space="preserve">la moyenne des membres par </w:t>
      </w:r>
      <w:r w:rsidR="00904F48">
        <w:rPr>
          <w:rFonts w:ascii="Bookman Old Style" w:hAnsi="Bookman Old Style" w:cs="Arial"/>
        </w:rPr>
        <w:t>groupement</w:t>
      </w:r>
      <w:r w:rsidR="00405596">
        <w:rPr>
          <w:rFonts w:ascii="Bookman Old Style" w:hAnsi="Bookman Old Style" w:cs="Arial"/>
        </w:rPr>
        <w:t xml:space="preserve"> est de 13 contre 2</w:t>
      </w:r>
      <w:r w:rsidR="00A976D9">
        <w:rPr>
          <w:rFonts w:ascii="Bookman Old Style" w:hAnsi="Bookman Old Style" w:cs="Arial"/>
        </w:rPr>
        <w:t>3</w:t>
      </w:r>
      <w:r w:rsidR="00405596">
        <w:rPr>
          <w:rFonts w:ascii="Bookman Old Style" w:hAnsi="Bookman Old Style" w:cs="Arial"/>
        </w:rPr>
        <w:t xml:space="preserve"> à 3</w:t>
      </w:r>
      <w:r w:rsidR="00A976D9">
        <w:rPr>
          <w:rFonts w:ascii="Bookman Old Style" w:hAnsi="Bookman Old Style" w:cs="Arial"/>
        </w:rPr>
        <w:t>7</w:t>
      </w:r>
      <w:r w:rsidR="00405596">
        <w:rPr>
          <w:rFonts w:ascii="Bookman Old Style" w:hAnsi="Bookman Old Style" w:cs="Arial"/>
        </w:rPr>
        <w:t xml:space="preserve"> pour les autres PDE.</w:t>
      </w:r>
      <w:r>
        <w:rPr>
          <w:rFonts w:ascii="Bookman Old Style" w:hAnsi="Bookman Old Style" w:cs="Arial"/>
        </w:rPr>
        <w:t xml:space="preserve"> </w:t>
      </w:r>
    </w:p>
    <w:p w14:paraId="5FB08842" w14:textId="6E413C58" w:rsidR="005D098B" w:rsidRPr="00275B4D" w:rsidRDefault="00275B4D" w:rsidP="00275B4D">
      <w:pPr>
        <w:pStyle w:val="Lgende"/>
        <w:spacing w:after="0"/>
      </w:pPr>
      <w:r>
        <w:t xml:space="preserve">                 </w:t>
      </w:r>
      <w:bookmarkStart w:id="22" w:name="_Toc97822381"/>
      <w:r>
        <w:t xml:space="preserve">Tableau </w:t>
      </w:r>
      <w:fldSimple w:instr=" SEQ Tableau \* ARABIC ">
        <w:r>
          <w:t>2</w:t>
        </w:r>
      </w:fldSimple>
      <w:r>
        <w:t> : Situation des membres par groupement</w:t>
      </w:r>
      <w:bookmarkEnd w:id="22"/>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0"/>
        <w:gridCol w:w="1744"/>
        <w:gridCol w:w="1560"/>
        <w:gridCol w:w="1984"/>
      </w:tblGrid>
      <w:tr w:rsidR="005D098B" w:rsidRPr="005D098B" w14:paraId="3C9EC98A" w14:textId="77777777" w:rsidTr="006C6ED5">
        <w:trPr>
          <w:trHeight w:val="264"/>
          <w:tblHeader/>
          <w:jc w:val="center"/>
        </w:trPr>
        <w:tc>
          <w:tcPr>
            <w:tcW w:w="2220" w:type="dxa"/>
            <w:shd w:val="clear" w:color="D9E7FD" w:fill="D9E7FD"/>
            <w:noWrap/>
            <w:vAlign w:val="center"/>
            <w:hideMark/>
          </w:tcPr>
          <w:p w14:paraId="1AF2E7EB" w14:textId="324AE288" w:rsidR="005D098B" w:rsidRPr="005D098B" w:rsidRDefault="005D098B" w:rsidP="005D098B">
            <w:pPr>
              <w:jc w:val="center"/>
              <w:rPr>
                <w:rFonts w:ascii="Arial" w:hAnsi="Arial" w:cs="Arial"/>
                <w:b/>
                <w:bCs/>
                <w:color w:val="000000"/>
                <w:sz w:val="20"/>
                <w:szCs w:val="20"/>
              </w:rPr>
            </w:pPr>
            <w:r>
              <w:rPr>
                <w:rFonts w:ascii="Arial" w:hAnsi="Arial" w:cs="Arial"/>
                <w:b/>
                <w:bCs/>
                <w:color w:val="000000"/>
                <w:sz w:val="20"/>
                <w:szCs w:val="20"/>
              </w:rPr>
              <w:t>Région/PDE</w:t>
            </w:r>
          </w:p>
        </w:tc>
        <w:tc>
          <w:tcPr>
            <w:tcW w:w="1744" w:type="dxa"/>
            <w:shd w:val="clear" w:color="D9E7FD" w:fill="D9E7FD"/>
            <w:noWrap/>
            <w:vAlign w:val="center"/>
            <w:hideMark/>
          </w:tcPr>
          <w:p w14:paraId="73B7E4E8" w14:textId="581BA35E" w:rsidR="005D098B" w:rsidRPr="005D098B" w:rsidRDefault="005D098B" w:rsidP="005D098B">
            <w:pPr>
              <w:jc w:val="center"/>
              <w:rPr>
                <w:rFonts w:ascii="Arial" w:hAnsi="Arial" w:cs="Arial"/>
                <w:b/>
                <w:bCs/>
                <w:color w:val="000000"/>
                <w:sz w:val="20"/>
                <w:szCs w:val="20"/>
              </w:rPr>
            </w:pPr>
            <w:r w:rsidRPr="005D098B">
              <w:rPr>
                <w:rFonts w:ascii="Arial" w:hAnsi="Arial" w:cs="Arial"/>
                <w:b/>
                <w:bCs/>
                <w:color w:val="000000"/>
                <w:sz w:val="20"/>
                <w:szCs w:val="20"/>
              </w:rPr>
              <w:t>Nbre Groupement</w:t>
            </w:r>
          </w:p>
        </w:tc>
        <w:tc>
          <w:tcPr>
            <w:tcW w:w="1560" w:type="dxa"/>
            <w:shd w:val="clear" w:color="D9E7FD" w:fill="D9E7FD"/>
            <w:noWrap/>
            <w:vAlign w:val="center"/>
            <w:hideMark/>
          </w:tcPr>
          <w:p w14:paraId="70D57D82" w14:textId="6654281E" w:rsidR="005D098B" w:rsidRPr="005D098B" w:rsidRDefault="005D098B" w:rsidP="005D098B">
            <w:pPr>
              <w:jc w:val="center"/>
              <w:rPr>
                <w:rFonts w:ascii="Arial" w:hAnsi="Arial" w:cs="Arial"/>
                <w:b/>
                <w:bCs/>
                <w:color w:val="000000"/>
                <w:sz w:val="20"/>
                <w:szCs w:val="20"/>
              </w:rPr>
            </w:pPr>
            <w:r w:rsidRPr="005D098B">
              <w:rPr>
                <w:rFonts w:ascii="Arial" w:hAnsi="Arial" w:cs="Arial"/>
                <w:b/>
                <w:bCs/>
                <w:color w:val="000000"/>
                <w:sz w:val="20"/>
                <w:szCs w:val="20"/>
              </w:rPr>
              <w:t>Nbre Membre</w:t>
            </w:r>
          </w:p>
        </w:tc>
        <w:tc>
          <w:tcPr>
            <w:tcW w:w="1984" w:type="dxa"/>
            <w:shd w:val="clear" w:color="D9E7FD" w:fill="D9E7FD"/>
            <w:noWrap/>
            <w:vAlign w:val="center"/>
            <w:hideMark/>
          </w:tcPr>
          <w:p w14:paraId="493CCD5A" w14:textId="43E3AD34" w:rsidR="005D098B" w:rsidRPr="005D098B" w:rsidRDefault="005D098B" w:rsidP="005D098B">
            <w:pPr>
              <w:jc w:val="center"/>
              <w:rPr>
                <w:rFonts w:ascii="Arial" w:hAnsi="Arial" w:cs="Arial"/>
                <w:b/>
                <w:bCs/>
                <w:color w:val="000000"/>
                <w:sz w:val="20"/>
                <w:szCs w:val="20"/>
              </w:rPr>
            </w:pPr>
            <w:proofErr w:type="spellStart"/>
            <w:r w:rsidRPr="005D098B">
              <w:rPr>
                <w:rFonts w:ascii="Arial" w:hAnsi="Arial" w:cs="Arial"/>
                <w:b/>
                <w:bCs/>
                <w:color w:val="000000"/>
                <w:sz w:val="20"/>
                <w:szCs w:val="20"/>
              </w:rPr>
              <w:t>Moy</w:t>
            </w:r>
            <w:proofErr w:type="spellEnd"/>
            <w:r w:rsidRPr="005D098B">
              <w:rPr>
                <w:rFonts w:ascii="Arial" w:hAnsi="Arial" w:cs="Arial"/>
                <w:b/>
                <w:bCs/>
                <w:color w:val="000000"/>
                <w:sz w:val="20"/>
                <w:szCs w:val="20"/>
              </w:rPr>
              <w:t xml:space="preserve">. </w:t>
            </w:r>
            <w:r w:rsidR="00E177B2">
              <w:rPr>
                <w:rFonts w:ascii="Arial" w:hAnsi="Arial" w:cs="Arial"/>
                <w:b/>
                <w:bCs/>
                <w:color w:val="000000"/>
                <w:sz w:val="20"/>
                <w:szCs w:val="20"/>
              </w:rPr>
              <w:t xml:space="preserve">Membre </w:t>
            </w:r>
            <w:proofErr w:type="spellStart"/>
            <w:r w:rsidRPr="005D098B">
              <w:rPr>
                <w:rFonts w:ascii="Arial" w:hAnsi="Arial" w:cs="Arial"/>
                <w:b/>
                <w:bCs/>
                <w:color w:val="000000"/>
                <w:sz w:val="20"/>
                <w:szCs w:val="20"/>
              </w:rPr>
              <w:t>Gpts</w:t>
            </w:r>
            <w:proofErr w:type="spellEnd"/>
          </w:p>
        </w:tc>
      </w:tr>
      <w:tr w:rsidR="005D098B" w:rsidRPr="005D098B" w14:paraId="54F3CA52" w14:textId="77777777" w:rsidTr="00F41027">
        <w:trPr>
          <w:trHeight w:val="264"/>
          <w:jc w:val="center"/>
        </w:trPr>
        <w:tc>
          <w:tcPr>
            <w:tcW w:w="2220" w:type="dxa"/>
            <w:shd w:val="clear" w:color="auto" w:fill="EEECE1" w:themeFill="background2"/>
            <w:noWrap/>
            <w:vAlign w:val="center"/>
            <w:hideMark/>
          </w:tcPr>
          <w:p w14:paraId="32A696CA" w14:textId="77777777" w:rsidR="005D098B" w:rsidRPr="005D098B" w:rsidRDefault="005D098B" w:rsidP="00F41027">
            <w:pPr>
              <w:rPr>
                <w:rFonts w:ascii="Arial" w:hAnsi="Arial" w:cs="Arial"/>
                <w:b/>
                <w:bCs/>
                <w:color w:val="000000"/>
                <w:sz w:val="20"/>
                <w:szCs w:val="20"/>
              </w:rPr>
            </w:pPr>
            <w:r w:rsidRPr="005D098B">
              <w:rPr>
                <w:rFonts w:ascii="Arial" w:hAnsi="Arial" w:cs="Arial"/>
                <w:b/>
                <w:bCs/>
                <w:color w:val="000000"/>
                <w:sz w:val="20"/>
                <w:szCs w:val="20"/>
              </w:rPr>
              <w:t>Maradi</w:t>
            </w:r>
          </w:p>
        </w:tc>
        <w:tc>
          <w:tcPr>
            <w:tcW w:w="1744" w:type="dxa"/>
            <w:shd w:val="clear" w:color="auto" w:fill="EEECE1" w:themeFill="background2"/>
            <w:noWrap/>
            <w:vAlign w:val="center"/>
            <w:hideMark/>
          </w:tcPr>
          <w:p w14:paraId="3BF38D30"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47</w:t>
            </w:r>
          </w:p>
        </w:tc>
        <w:tc>
          <w:tcPr>
            <w:tcW w:w="1560" w:type="dxa"/>
            <w:shd w:val="clear" w:color="auto" w:fill="EEECE1" w:themeFill="background2"/>
            <w:noWrap/>
            <w:vAlign w:val="center"/>
            <w:hideMark/>
          </w:tcPr>
          <w:p w14:paraId="097C410F"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1640</w:t>
            </w:r>
          </w:p>
        </w:tc>
        <w:tc>
          <w:tcPr>
            <w:tcW w:w="1984" w:type="dxa"/>
            <w:shd w:val="clear" w:color="auto" w:fill="EEECE1" w:themeFill="background2"/>
            <w:noWrap/>
            <w:vAlign w:val="center"/>
            <w:hideMark/>
          </w:tcPr>
          <w:p w14:paraId="7ED88F06"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35</w:t>
            </w:r>
          </w:p>
        </w:tc>
      </w:tr>
      <w:tr w:rsidR="005D098B" w:rsidRPr="005D098B" w14:paraId="6E535346" w14:textId="77777777" w:rsidTr="00F41027">
        <w:trPr>
          <w:trHeight w:val="264"/>
          <w:jc w:val="center"/>
        </w:trPr>
        <w:tc>
          <w:tcPr>
            <w:tcW w:w="2220" w:type="dxa"/>
            <w:shd w:val="clear" w:color="auto" w:fill="auto"/>
            <w:noWrap/>
            <w:vAlign w:val="center"/>
            <w:hideMark/>
          </w:tcPr>
          <w:p w14:paraId="27A5906B" w14:textId="5C8E55F7" w:rsidR="005D098B" w:rsidRPr="005D098B" w:rsidRDefault="005D098B" w:rsidP="00F41027">
            <w:pPr>
              <w:ind w:firstLineChars="100" w:firstLine="200"/>
              <w:rPr>
                <w:rFonts w:ascii="Arial" w:hAnsi="Arial" w:cs="Arial"/>
                <w:color w:val="000000"/>
                <w:sz w:val="20"/>
                <w:szCs w:val="20"/>
              </w:rPr>
            </w:pPr>
            <w:proofErr w:type="spellStart"/>
            <w:r w:rsidRPr="005D098B">
              <w:rPr>
                <w:rFonts w:ascii="Arial" w:hAnsi="Arial" w:cs="Arial"/>
                <w:color w:val="000000"/>
                <w:sz w:val="20"/>
                <w:szCs w:val="20"/>
              </w:rPr>
              <w:t>Guidan</w:t>
            </w:r>
            <w:proofErr w:type="spellEnd"/>
            <w:r w:rsidR="006C6ED5">
              <w:rPr>
                <w:rFonts w:ascii="Arial" w:hAnsi="Arial" w:cs="Arial"/>
                <w:color w:val="000000"/>
                <w:sz w:val="20"/>
                <w:szCs w:val="20"/>
              </w:rPr>
              <w:t xml:space="preserve"> </w:t>
            </w:r>
            <w:proofErr w:type="spellStart"/>
            <w:r w:rsidRPr="005D098B">
              <w:rPr>
                <w:rFonts w:ascii="Arial" w:hAnsi="Arial" w:cs="Arial"/>
                <w:color w:val="000000"/>
                <w:sz w:val="20"/>
                <w:szCs w:val="20"/>
              </w:rPr>
              <w:t>Roumdji</w:t>
            </w:r>
            <w:proofErr w:type="spellEnd"/>
          </w:p>
        </w:tc>
        <w:tc>
          <w:tcPr>
            <w:tcW w:w="1744" w:type="dxa"/>
            <w:shd w:val="clear" w:color="auto" w:fill="auto"/>
            <w:noWrap/>
            <w:vAlign w:val="center"/>
            <w:hideMark/>
          </w:tcPr>
          <w:p w14:paraId="15A2308A"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16</w:t>
            </w:r>
          </w:p>
        </w:tc>
        <w:tc>
          <w:tcPr>
            <w:tcW w:w="1560" w:type="dxa"/>
            <w:shd w:val="clear" w:color="auto" w:fill="auto"/>
            <w:noWrap/>
            <w:vAlign w:val="center"/>
            <w:hideMark/>
          </w:tcPr>
          <w:p w14:paraId="0A2CE58B"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498</w:t>
            </w:r>
          </w:p>
        </w:tc>
        <w:tc>
          <w:tcPr>
            <w:tcW w:w="1984" w:type="dxa"/>
            <w:shd w:val="clear" w:color="auto" w:fill="auto"/>
            <w:noWrap/>
            <w:vAlign w:val="center"/>
            <w:hideMark/>
          </w:tcPr>
          <w:p w14:paraId="776EBCF1"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31</w:t>
            </w:r>
          </w:p>
        </w:tc>
      </w:tr>
      <w:tr w:rsidR="005D098B" w:rsidRPr="005D098B" w14:paraId="56891823" w14:textId="77777777" w:rsidTr="00F41027">
        <w:trPr>
          <w:trHeight w:val="264"/>
          <w:jc w:val="center"/>
        </w:trPr>
        <w:tc>
          <w:tcPr>
            <w:tcW w:w="2220" w:type="dxa"/>
            <w:shd w:val="clear" w:color="auto" w:fill="auto"/>
            <w:noWrap/>
            <w:vAlign w:val="center"/>
            <w:hideMark/>
          </w:tcPr>
          <w:p w14:paraId="0DAE89A9" w14:textId="77777777" w:rsidR="005D098B" w:rsidRPr="005D098B" w:rsidRDefault="005D098B" w:rsidP="00F41027">
            <w:pPr>
              <w:ind w:firstLineChars="100" w:firstLine="200"/>
              <w:rPr>
                <w:rFonts w:ascii="Arial" w:hAnsi="Arial" w:cs="Arial"/>
                <w:color w:val="000000"/>
                <w:sz w:val="20"/>
                <w:szCs w:val="20"/>
              </w:rPr>
            </w:pPr>
            <w:r w:rsidRPr="005D098B">
              <w:rPr>
                <w:rFonts w:ascii="Arial" w:hAnsi="Arial" w:cs="Arial"/>
                <w:color w:val="000000"/>
                <w:sz w:val="20"/>
                <w:szCs w:val="20"/>
              </w:rPr>
              <w:t>Tessaoua</w:t>
            </w:r>
          </w:p>
        </w:tc>
        <w:tc>
          <w:tcPr>
            <w:tcW w:w="1744" w:type="dxa"/>
            <w:shd w:val="clear" w:color="auto" w:fill="auto"/>
            <w:noWrap/>
            <w:vAlign w:val="center"/>
            <w:hideMark/>
          </w:tcPr>
          <w:p w14:paraId="7BE3DB27"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31</w:t>
            </w:r>
          </w:p>
        </w:tc>
        <w:tc>
          <w:tcPr>
            <w:tcW w:w="1560" w:type="dxa"/>
            <w:shd w:val="clear" w:color="auto" w:fill="auto"/>
            <w:noWrap/>
            <w:vAlign w:val="center"/>
            <w:hideMark/>
          </w:tcPr>
          <w:p w14:paraId="6F5B614C"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1142</w:t>
            </w:r>
          </w:p>
        </w:tc>
        <w:tc>
          <w:tcPr>
            <w:tcW w:w="1984" w:type="dxa"/>
            <w:shd w:val="clear" w:color="auto" w:fill="auto"/>
            <w:noWrap/>
            <w:vAlign w:val="center"/>
            <w:hideMark/>
          </w:tcPr>
          <w:p w14:paraId="1FB0A3D0"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37</w:t>
            </w:r>
          </w:p>
        </w:tc>
      </w:tr>
      <w:tr w:rsidR="005D098B" w:rsidRPr="005D098B" w14:paraId="167005A5" w14:textId="77777777" w:rsidTr="00F41027">
        <w:trPr>
          <w:trHeight w:val="264"/>
          <w:jc w:val="center"/>
        </w:trPr>
        <w:tc>
          <w:tcPr>
            <w:tcW w:w="2220" w:type="dxa"/>
            <w:shd w:val="clear" w:color="auto" w:fill="EEECE1" w:themeFill="background2"/>
            <w:noWrap/>
            <w:vAlign w:val="center"/>
            <w:hideMark/>
          </w:tcPr>
          <w:p w14:paraId="646FCBAE" w14:textId="77777777" w:rsidR="005D098B" w:rsidRPr="005D098B" w:rsidRDefault="005D098B" w:rsidP="00F41027">
            <w:pPr>
              <w:rPr>
                <w:rFonts w:ascii="Arial" w:hAnsi="Arial" w:cs="Arial"/>
                <w:b/>
                <w:bCs/>
                <w:color w:val="000000"/>
                <w:sz w:val="20"/>
                <w:szCs w:val="20"/>
              </w:rPr>
            </w:pPr>
            <w:r w:rsidRPr="005D098B">
              <w:rPr>
                <w:rFonts w:ascii="Arial" w:hAnsi="Arial" w:cs="Arial"/>
                <w:b/>
                <w:bCs/>
                <w:color w:val="000000"/>
                <w:sz w:val="20"/>
                <w:szCs w:val="20"/>
              </w:rPr>
              <w:t>Tahoua</w:t>
            </w:r>
          </w:p>
        </w:tc>
        <w:tc>
          <w:tcPr>
            <w:tcW w:w="1744" w:type="dxa"/>
            <w:shd w:val="clear" w:color="auto" w:fill="EEECE1" w:themeFill="background2"/>
            <w:noWrap/>
            <w:vAlign w:val="center"/>
            <w:hideMark/>
          </w:tcPr>
          <w:p w14:paraId="2FE5D1AA"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53</w:t>
            </w:r>
          </w:p>
        </w:tc>
        <w:tc>
          <w:tcPr>
            <w:tcW w:w="1560" w:type="dxa"/>
            <w:shd w:val="clear" w:color="auto" w:fill="EEECE1" w:themeFill="background2"/>
            <w:noWrap/>
            <w:vAlign w:val="center"/>
            <w:hideMark/>
          </w:tcPr>
          <w:p w14:paraId="1EA93F7A"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878</w:t>
            </w:r>
          </w:p>
        </w:tc>
        <w:tc>
          <w:tcPr>
            <w:tcW w:w="1984" w:type="dxa"/>
            <w:shd w:val="clear" w:color="auto" w:fill="EEECE1" w:themeFill="background2"/>
            <w:noWrap/>
            <w:vAlign w:val="center"/>
            <w:hideMark/>
          </w:tcPr>
          <w:p w14:paraId="5DF4E131"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17</w:t>
            </w:r>
          </w:p>
        </w:tc>
      </w:tr>
      <w:tr w:rsidR="005D098B" w:rsidRPr="005D098B" w14:paraId="00568F1D" w14:textId="77777777" w:rsidTr="00F41027">
        <w:trPr>
          <w:trHeight w:val="264"/>
          <w:jc w:val="center"/>
        </w:trPr>
        <w:tc>
          <w:tcPr>
            <w:tcW w:w="2220" w:type="dxa"/>
            <w:shd w:val="clear" w:color="auto" w:fill="auto"/>
            <w:noWrap/>
            <w:vAlign w:val="center"/>
            <w:hideMark/>
          </w:tcPr>
          <w:p w14:paraId="6295538C" w14:textId="77777777" w:rsidR="005D098B" w:rsidRPr="005D098B" w:rsidRDefault="005D098B" w:rsidP="00F41027">
            <w:pPr>
              <w:ind w:firstLineChars="100" w:firstLine="200"/>
              <w:rPr>
                <w:rFonts w:ascii="Arial" w:hAnsi="Arial" w:cs="Arial"/>
                <w:color w:val="000000"/>
                <w:sz w:val="20"/>
                <w:szCs w:val="20"/>
              </w:rPr>
            </w:pPr>
            <w:proofErr w:type="spellStart"/>
            <w:r w:rsidRPr="005D098B">
              <w:rPr>
                <w:rFonts w:ascii="Arial" w:hAnsi="Arial" w:cs="Arial"/>
                <w:color w:val="000000"/>
                <w:sz w:val="20"/>
                <w:szCs w:val="20"/>
              </w:rPr>
              <w:t>Badaguichiri</w:t>
            </w:r>
            <w:proofErr w:type="spellEnd"/>
          </w:p>
        </w:tc>
        <w:tc>
          <w:tcPr>
            <w:tcW w:w="1744" w:type="dxa"/>
            <w:shd w:val="clear" w:color="auto" w:fill="auto"/>
            <w:noWrap/>
            <w:vAlign w:val="center"/>
            <w:hideMark/>
          </w:tcPr>
          <w:p w14:paraId="15B2FC13"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31</w:t>
            </w:r>
          </w:p>
        </w:tc>
        <w:tc>
          <w:tcPr>
            <w:tcW w:w="1560" w:type="dxa"/>
            <w:shd w:val="clear" w:color="auto" w:fill="auto"/>
            <w:noWrap/>
            <w:vAlign w:val="center"/>
            <w:hideMark/>
          </w:tcPr>
          <w:p w14:paraId="0E7D330E"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405</w:t>
            </w:r>
          </w:p>
        </w:tc>
        <w:tc>
          <w:tcPr>
            <w:tcW w:w="1984" w:type="dxa"/>
            <w:shd w:val="clear" w:color="auto" w:fill="auto"/>
            <w:noWrap/>
            <w:vAlign w:val="center"/>
            <w:hideMark/>
          </w:tcPr>
          <w:p w14:paraId="741C64DE"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13</w:t>
            </w:r>
          </w:p>
        </w:tc>
      </w:tr>
      <w:tr w:rsidR="005D098B" w:rsidRPr="005D098B" w14:paraId="5FE4F4EF" w14:textId="77777777" w:rsidTr="00F41027">
        <w:trPr>
          <w:trHeight w:val="264"/>
          <w:jc w:val="center"/>
        </w:trPr>
        <w:tc>
          <w:tcPr>
            <w:tcW w:w="2220" w:type="dxa"/>
            <w:shd w:val="clear" w:color="auto" w:fill="auto"/>
            <w:noWrap/>
            <w:vAlign w:val="center"/>
            <w:hideMark/>
          </w:tcPr>
          <w:p w14:paraId="13BD05C2" w14:textId="77777777" w:rsidR="005D098B" w:rsidRPr="005D098B" w:rsidRDefault="005D098B" w:rsidP="00F41027">
            <w:pPr>
              <w:ind w:firstLineChars="100" w:firstLine="200"/>
              <w:rPr>
                <w:rFonts w:ascii="Arial" w:hAnsi="Arial" w:cs="Arial"/>
                <w:color w:val="000000"/>
                <w:sz w:val="20"/>
                <w:szCs w:val="20"/>
              </w:rPr>
            </w:pPr>
            <w:r w:rsidRPr="005D098B">
              <w:rPr>
                <w:rFonts w:ascii="Arial" w:hAnsi="Arial" w:cs="Arial"/>
                <w:color w:val="000000"/>
                <w:sz w:val="20"/>
                <w:szCs w:val="20"/>
              </w:rPr>
              <w:t>Karofane</w:t>
            </w:r>
          </w:p>
        </w:tc>
        <w:tc>
          <w:tcPr>
            <w:tcW w:w="1744" w:type="dxa"/>
            <w:shd w:val="clear" w:color="auto" w:fill="auto"/>
            <w:noWrap/>
            <w:vAlign w:val="center"/>
            <w:hideMark/>
          </w:tcPr>
          <w:p w14:paraId="55929C1F"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12</w:t>
            </w:r>
          </w:p>
        </w:tc>
        <w:tc>
          <w:tcPr>
            <w:tcW w:w="1560" w:type="dxa"/>
            <w:shd w:val="clear" w:color="auto" w:fill="auto"/>
            <w:noWrap/>
            <w:vAlign w:val="center"/>
            <w:hideMark/>
          </w:tcPr>
          <w:p w14:paraId="747C45C1"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158</w:t>
            </w:r>
          </w:p>
        </w:tc>
        <w:tc>
          <w:tcPr>
            <w:tcW w:w="1984" w:type="dxa"/>
            <w:shd w:val="clear" w:color="auto" w:fill="auto"/>
            <w:noWrap/>
            <w:vAlign w:val="center"/>
            <w:hideMark/>
          </w:tcPr>
          <w:p w14:paraId="5E8CF020"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13</w:t>
            </w:r>
          </w:p>
        </w:tc>
      </w:tr>
      <w:tr w:rsidR="005D098B" w:rsidRPr="005D098B" w14:paraId="34E726C5" w14:textId="77777777" w:rsidTr="00F41027">
        <w:trPr>
          <w:trHeight w:val="264"/>
          <w:jc w:val="center"/>
        </w:trPr>
        <w:tc>
          <w:tcPr>
            <w:tcW w:w="2220" w:type="dxa"/>
            <w:shd w:val="clear" w:color="auto" w:fill="auto"/>
            <w:noWrap/>
            <w:vAlign w:val="center"/>
            <w:hideMark/>
          </w:tcPr>
          <w:p w14:paraId="6D955195" w14:textId="77777777" w:rsidR="005D098B" w:rsidRPr="005D098B" w:rsidRDefault="005D098B" w:rsidP="00F41027">
            <w:pPr>
              <w:ind w:firstLineChars="100" w:firstLine="200"/>
              <w:rPr>
                <w:rFonts w:ascii="Arial" w:hAnsi="Arial" w:cs="Arial"/>
                <w:color w:val="000000"/>
                <w:sz w:val="20"/>
                <w:szCs w:val="20"/>
              </w:rPr>
            </w:pPr>
            <w:r w:rsidRPr="005D098B">
              <w:rPr>
                <w:rFonts w:ascii="Arial" w:hAnsi="Arial" w:cs="Arial"/>
                <w:color w:val="000000"/>
                <w:sz w:val="20"/>
                <w:szCs w:val="20"/>
              </w:rPr>
              <w:t>Tounfafi</w:t>
            </w:r>
          </w:p>
        </w:tc>
        <w:tc>
          <w:tcPr>
            <w:tcW w:w="1744" w:type="dxa"/>
            <w:shd w:val="clear" w:color="auto" w:fill="auto"/>
            <w:noWrap/>
            <w:vAlign w:val="center"/>
            <w:hideMark/>
          </w:tcPr>
          <w:p w14:paraId="1467BC64"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10</w:t>
            </w:r>
          </w:p>
        </w:tc>
        <w:tc>
          <w:tcPr>
            <w:tcW w:w="1560" w:type="dxa"/>
            <w:shd w:val="clear" w:color="auto" w:fill="auto"/>
            <w:noWrap/>
            <w:vAlign w:val="center"/>
            <w:hideMark/>
          </w:tcPr>
          <w:p w14:paraId="6AB2F429"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315</w:t>
            </w:r>
          </w:p>
        </w:tc>
        <w:tc>
          <w:tcPr>
            <w:tcW w:w="1984" w:type="dxa"/>
            <w:shd w:val="clear" w:color="auto" w:fill="auto"/>
            <w:noWrap/>
            <w:vAlign w:val="center"/>
            <w:hideMark/>
          </w:tcPr>
          <w:p w14:paraId="6E4DACB2"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32</w:t>
            </w:r>
          </w:p>
        </w:tc>
      </w:tr>
      <w:tr w:rsidR="005D098B" w:rsidRPr="005D098B" w14:paraId="59B55884" w14:textId="77777777" w:rsidTr="00F41027">
        <w:trPr>
          <w:trHeight w:val="264"/>
          <w:jc w:val="center"/>
        </w:trPr>
        <w:tc>
          <w:tcPr>
            <w:tcW w:w="2220" w:type="dxa"/>
            <w:shd w:val="clear" w:color="auto" w:fill="EEECE1" w:themeFill="background2"/>
            <w:noWrap/>
            <w:vAlign w:val="center"/>
            <w:hideMark/>
          </w:tcPr>
          <w:p w14:paraId="22C72205" w14:textId="77777777" w:rsidR="005D098B" w:rsidRPr="005D098B" w:rsidRDefault="005D098B" w:rsidP="00F41027">
            <w:pPr>
              <w:rPr>
                <w:rFonts w:ascii="Arial" w:hAnsi="Arial" w:cs="Arial"/>
                <w:b/>
                <w:bCs/>
                <w:color w:val="000000"/>
                <w:sz w:val="20"/>
                <w:szCs w:val="20"/>
              </w:rPr>
            </w:pPr>
            <w:r w:rsidRPr="005D098B">
              <w:rPr>
                <w:rFonts w:ascii="Arial" w:hAnsi="Arial" w:cs="Arial"/>
                <w:b/>
                <w:bCs/>
                <w:color w:val="000000"/>
                <w:sz w:val="20"/>
                <w:szCs w:val="20"/>
              </w:rPr>
              <w:t>Zinder</w:t>
            </w:r>
          </w:p>
        </w:tc>
        <w:tc>
          <w:tcPr>
            <w:tcW w:w="1744" w:type="dxa"/>
            <w:shd w:val="clear" w:color="auto" w:fill="EEECE1" w:themeFill="background2"/>
            <w:noWrap/>
            <w:vAlign w:val="center"/>
            <w:hideMark/>
          </w:tcPr>
          <w:p w14:paraId="4C70D41C"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47</w:t>
            </w:r>
          </w:p>
        </w:tc>
        <w:tc>
          <w:tcPr>
            <w:tcW w:w="1560" w:type="dxa"/>
            <w:shd w:val="clear" w:color="auto" w:fill="EEECE1" w:themeFill="background2"/>
            <w:noWrap/>
            <w:vAlign w:val="center"/>
            <w:hideMark/>
          </w:tcPr>
          <w:p w14:paraId="1F861C27"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1151</w:t>
            </w:r>
          </w:p>
        </w:tc>
        <w:tc>
          <w:tcPr>
            <w:tcW w:w="1984" w:type="dxa"/>
            <w:shd w:val="clear" w:color="auto" w:fill="EEECE1" w:themeFill="background2"/>
            <w:noWrap/>
            <w:vAlign w:val="center"/>
            <w:hideMark/>
          </w:tcPr>
          <w:p w14:paraId="76F2BFCF"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24</w:t>
            </w:r>
          </w:p>
        </w:tc>
      </w:tr>
      <w:tr w:rsidR="005D098B" w:rsidRPr="005D098B" w14:paraId="51ECAF90" w14:textId="77777777" w:rsidTr="00F41027">
        <w:trPr>
          <w:trHeight w:val="264"/>
          <w:jc w:val="center"/>
        </w:trPr>
        <w:tc>
          <w:tcPr>
            <w:tcW w:w="2220" w:type="dxa"/>
            <w:shd w:val="clear" w:color="auto" w:fill="auto"/>
            <w:noWrap/>
            <w:vAlign w:val="center"/>
            <w:hideMark/>
          </w:tcPr>
          <w:p w14:paraId="1D11A496" w14:textId="77777777" w:rsidR="005D098B" w:rsidRPr="005D098B" w:rsidRDefault="005D098B" w:rsidP="00F41027">
            <w:pPr>
              <w:ind w:firstLineChars="100" w:firstLine="200"/>
              <w:rPr>
                <w:rFonts w:ascii="Arial" w:hAnsi="Arial" w:cs="Arial"/>
                <w:color w:val="000000"/>
                <w:sz w:val="20"/>
                <w:szCs w:val="20"/>
              </w:rPr>
            </w:pPr>
            <w:r w:rsidRPr="005D098B">
              <w:rPr>
                <w:rFonts w:ascii="Arial" w:hAnsi="Arial" w:cs="Arial"/>
                <w:color w:val="000000"/>
                <w:sz w:val="20"/>
                <w:szCs w:val="20"/>
              </w:rPr>
              <w:t>Bande</w:t>
            </w:r>
          </w:p>
        </w:tc>
        <w:tc>
          <w:tcPr>
            <w:tcW w:w="1744" w:type="dxa"/>
            <w:shd w:val="clear" w:color="auto" w:fill="auto"/>
            <w:noWrap/>
            <w:vAlign w:val="center"/>
            <w:hideMark/>
          </w:tcPr>
          <w:p w14:paraId="48E3BFCB"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7</w:t>
            </w:r>
          </w:p>
        </w:tc>
        <w:tc>
          <w:tcPr>
            <w:tcW w:w="1560" w:type="dxa"/>
            <w:shd w:val="clear" w:color="auto" w:fill="auto"/>
            <w:noWrap/>
            <w:vAlign w:val="center"/>
            <w:hideMark/>
          </w:tcPr>
          <w:p w14:paraId="6441BC84"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215</w:t>
            </w:r>
          </w:p>
        </w:tc>
        <w:tc>
          <w:tcPr>
            <w:tcW w:w="1984" w:type="dxa"/>
            <w:shd w:val="clear" w:color="auto" w:fill="auto"/>
            <w:noWrap/>
            <w:vAlign w:val="center"/>
            <w:hideMark/>
          </w:tcPr>
          <w:p w14:paraId="48E9F1C3"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31</w:t>
            </w:r>
          </w:p>
        </w:tc>
      </w:tr>
      <w:tr w:rsidR="005D098B" w:rsidRPr="005D098B" w14:paraId="27AE21B8" w14:textId="77777777" w:rsidTr="00F41027">
        <w:trPr>
          <w:trHeight w:val="264"/>
          <w:jc w:val="center"/>
        </w:trPr>
        <w:tc>
          <w:tcPr>
            <w:tcW w:w="2220" w:type="dxa"/>
            <w:shd w:val="clear" w:color="auto" w:fill="auto"/>
            <w:noWrap/>
            <w:vAlign w:val="center"/>
            <w:hideMark/>
          </w:tcPr>
          <w:p w14:paraId="00180C78" w14:textId="77777777" w:rsidR="005D098B" w:rsidRPr="005D098B" w:rsidRDefault="005D098B" w:rsidP="00F41027">
            <w:pPr>
              <w:ind w:firstLineChars="100" w:firstLine="200"/>
              <w:rPr>
                <w:rFonts w:ascii="Arial" w:hAnsi="Arial" w:cs="Arial"/>
                <w:color w:val="000000"/>
                <w:sz w:val="20"/>
                <w:szCs w:val="20"/>
              </w:rPr>
            </w:pPr>
            <w:r w:rsidRPr="005D098B">
              <w:rPr>
                <w:rFonts w:ascii="Arial" w:hAnsi="Arial" w:cs="Arial"/>
                <w:color w:val="000000"/>
                <w:sz w:val="20"/>
                <w:szCs w:val="20"/>
              </w:rPr>
              <w:t>Doungou</w:t>
            </w:r>
          </w:p>
        </w:tc>
        <w:tc>
          <w:tcPr>
            <w:tcW w:w="1744" w:type="dxa"/>
            <w:shd w:val="clear" w:color="auto" w:fill="auto"/>
            <w:noWrap/>
            <w:vAlign w:val="center"/>
            <w:hideMark/>
          </w:tcPr>
          <w:p w14:paraId="35A31350"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28</w:t>
            </w:r>
          </w:p>
        </w:tc>
        <w:tc>
          <w:tcPr>
            <w:tcW w:w="1560" w:type="dxa"/>
            <w:shd w:val="clear" w:color="auto" w:fill="auto"/>
            <w:noWrap/>
            <w:vAlign w:val="center"/>
            <w:hideMark/>
          </w:tcPr>
          <w:p w14:paraId="4C28B4FC"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659</w:t>
            </w:r>
          </w:p>
        </w:tc>
        <w:tc>
          <w:tcPr>
            <w:tcW w:w="1984" w:type="dxa"/>
            <w:shd w:val="clear" w:color="auto" w:fill="auto"/>
            <w:noWrap/>
            <w:vAlign w:val="center"/>
            <w:hideMark/>
          </w:tcPr>
          <w:p w14:paraId="50B4159E"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24</w:t>
            </w:r>
          </w:p>
        </w:tc>
      </w:tr>
      <w:tr w:rsidR="005D098B" w:rsidRPr="005D098B" w14:paraId="3AD9449E" w14:textId="77777777" w:rsidTr="00F41027">
        <w:trPr>
          <w:trHeight w:val="264"/>
          <w:jc w:val="center"/>
        </w:trPr>
        <w:tc>
          <w:tcPr>
            <w:tcW w:w="2220" w:type="dxa"/>
            <w:shd w:val="clear" w:color="auto" w:fill="auto"/>
            <w:noWrap/>
            <w:vAlign w:val="center"/>
            <w:hideMark/>
          </w:tcPr>
          <w:p w14:paraId="5E506915" w14:textId="77777777" w:rsidR="005D098B" w:rsidRPr="005D098B" w:rsidRDefault="005D098B" w:rsidP="00F41027">
            <w:pPr>
              <w:ind w:firstLineChars="100" w:firstLine="200"/>
              <w:rPr>
                <w:rFonts w:ascii="Arial" w:hAnsi="Arial" w:cs="Arial"/>
                <w:color w:val="000000"/>
                <w:sz w:val="20"/>
                <w:szCs w:val="20"/>
              </w:rPr>
            </w:pPr>
            <w:r w:rsidRPr="005D098B">
              <w:rPr>
                <w:rFonts w:ascii="Arial" w:hAnsi="Arial" w:cs="Arial"/>
                <w:color w:val="000000"/>
                <w:sz w:val="20"/>
                <w:szCs w:val="20"/>
              </w:rPr>
              <w:t>Guidimouni</w:t>
            </w:r>
          </w:p>
        </w:tc>
        <w:tc>
          <w:tcPr>
            <w:tcW w:w="1744" w:type="dxa"/>
            <w:shd w:val="clear" w:color="auto" w:fill="auto"/>
            <w:noWrap/>
            <w:vAlign w:val="center"/>
            <w:hideMark/>
          </w:tcPr>
          <w:p w14:paraId="4DDC3148"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12</w:t>
            </w:r>
          </w:p>
        </w:tc>
        <w:tc>
          <w:tcPr>
            <w:tcW w:w="1560" w:type="dxa"/>
            <w:shd w:val="clear" w:color="auto" w:fill="auto"/>
            <w:noWrap/>
            <w:vAlign w:val="center"/>
            <w:hideMark/>
          </w:tcPr>
          <w:p w14:paraId="135B6B27"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277</w:t>
            </w:r>
          </w:p>
        </w:tc>
        <w:tc>
          <w:tcPr>
            <w:tcW w:w="1984" w:type="dxa"/>
            <w:shd w:val="clear" w:color="auto" w:fill="auto"/>
            <w:noWrap/>
            <w:vAlign w:val="center"/>
            <w:hideMark/>
          </w:tcPr>
          <w:p w14:paraId="352A8266" w14:textId="77777777" w:rsidR="005D098B" w:rsidRPr="005D098B" w:rsidRDefault="005D098B" w:rsidP="00F41027">
            <w:pPr>
              <w:jc w:val="right"/>
              <w:rPr>
                <w:rFonts w:ascii="Arial" w:hAnsi="Arial" w:cs="Arial"/>
                <w:color w:val="000000"/>
                <w:sz w:val="20"/>
                <w:szCs w:val="20"/>
              </w:rPr>
            </w:pPr>
            <w:r w:rsidRPr="005D098B">
              <w:rPr>
                <w:rFonts w:ascii="Arial" w:hAnsi="Arial" w:cs="Arial"/>
                <w:color w:val="000000"/>
                <w:sz w:val="20"/>
                <w:szCs w:val="20"/>
              </w:rPr>
              <w:t>23</w:t>
            </w:r>
          </w:p>
        </w:tc>
      </w:tr>
      <w:tr w:rsidR="005D098B" w:rsidRPr="005D098B" w14:paraId="20087366" w14:textId="77777777" w:rsidTr="00F41027">
        <w:trPr>
          <w:trHeight w:val="239"/>
          <w:jc w:val="center"/>
        </w:trPr>
        <w:tc>
          <w:tcPr>
            <w:tcW w:w="2220" w:type="dxa"/>
            <w:shd w:val="clear" w:color="D9E7FD" w:fill="D9E7FD"/>
            <w:noWrap/>
            <w:vAlign w:val="center"/>
            <w:hideMark/>
          </w:tcPr>
          <w:p w14:paraId="3C2A38C4" w14:textId="77777777" w:rsidR="005D098B" w:rsidRPr="005D098B" w:rsidRDefault="005D098B" w:rsidP="00F41027">
            <w:pPr>
              <w:rPr>
                <w:rFonts w:ascii="Arial" w:hAnsi="Arial" w:cs="Arial"/>
                <w:b/>
                <w:bCs/>
                <w:color w:val="000000"/>
                <w:sz w:val="20"/>
                <w:szCs w:val="20"/>
              </w:rPr>
            </w:pPr>
            <w:r w:rsidRPr="005D098B">
              <w:rPr>
                <w:rFonts w:ascii="Arial" w:hAnsi="Arial" w:cs="Arial"/>
                <w:b/>
                <w:bCs/>
                <w:color w:val="000000"/>
                <w:sz w:val="20"/>
                <w:szCs w:val="20"/>
              </w:rPr>
              <w:t>Total général</w:t>
            </w:r>
          </w:p>
        </w:tc>
        <w:tc>
          <w:tcPr>
            <w:tcW w:w="1744" w:type="dxa"/>
            <w:shd w:val="clear" w:color="D9E7FD" w:fill="D9E7FD"/>
            <w:noWrap/>
            <w:vAlign w:val="center"/>
            <w:hideMark/>
          </w:tcPr>
          <w:p w14:paraId="3AD0891A"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147</w:t>
            </w:r>
          </w:p>
        </w:tc>
        <w:tc>
          <w:tcPr>
            <w:tcW w:w="1560" w:type="dxa"/>
            <w:shd w:val="clear" w:color="D9E7FD" w:fill="D9E7FD"/>
            <w:noWrap/>
            <w:vAlign w:val="center"/>
            <w:hideMark/>
          </w:tcPr>
          <w:p w14:paraId="6D287260"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3669</w:t>
            </w:r>
          </w:p>
        </w:tc>
        <w:tc>
          <w:tcPr>
            <w:tcW w:w="1984" w:type="dxa"/>
            <w:shd w:val="clear" w:color="D9E7FD" w:fill="D9E7FD"/>
            <w:noWrap/>
            <w:vAlign w:val="center"/>
            <w:hideMark/>
          </w:tcPr>
          <w:p w14:paraId="43B8B51A" w14:textId="77777777" w:rsidR="005D098B" w:rsidRPr="005D098B" w:rsidRDefault="005D098B" w:rsidP="00F41027">
            <w:pPr>
              <w:jc w:val="right"/>
              <w:rPr>
                <w:rFonts w:ascii="Arial" w:hAnsi="Arial" w:cs="Arial"/>
                <w:b/>
                <w:bCs/>
                <w:color w:val="000000"/>
                <w:sz w:val="20"/>
                <w:szCs w:val="20"/>
              </w:rPr>
            </w:pPr>
            <w:r w:rsidRPr="005D098B">
              <w:rPr>
                <w:rFonts w:ascii="Arial" w:hAnsi="Arial" w:cs="Arial"/>
                <w:b/>
                <w:bCs/>
                <w:color w:val="000000"/>
                <w:sz w:val="20"/>
                <w:szCs w:val="20"/>
              </w:rPr>
              <w:t>25</w:t>
            </w:r>
          </w:p>
        </w:tc>
      </w:tr>
    </w:tbl>
    <w:p w14:paraId="339892F2" w14:textId="2944ADD0" w:rsidR="000E18CE" w:rsidRPr="000E18CE" w:rsidRDefault="000D4946" w:rsidP="000E18CE">
      <w:pPr>
        <w:tabs>
          <w:tab w:val="left" w:pos="4402"/>
        </w:tabs>
        <w:spacing w:line="276" w:lineRule="auto"/>
        <w:rPr>
          <w:rFonts w:ascii="Bookman Old Style" w:hAnsi="Bookman Old Style" w:cs="Arial"/>
          <w:sz w:val="18"/>
          <w:szCs w:val="18"/>
        </w:rPr>
      </w:pPr>
      <w:r>
        <w:rPr>
          <w:rFonts w:ascii="Bookman Old Style" w:hAnsi="Bookman Old Style" w:cs="Arial"/>
          <w:sz w:val="18"/>
          <w:szCs w:val="18"/>
        </w:rPr>
        <w:t xml:space="preserve">             </w:t>
      </w:r>
      <w:r w:rsidR="000E18CE" w:rsidRPr="000E18CE">
        <w:rPr>
          <w:rFonts w:ascii="Bookman Old Style" w:hAnsi="Bookman Old Style" w:cs="Arial"/>
          <w:sz w:val="18"/>
          <w:szCs w:val="18"/>
        </w:rPr>
        <w:t>Source : Enquête terrain, septembre 2021</w:t>
      </w:r>
    </w:p>
    <w:p w14:paraId="3D40DFB7" w14:textId="1630AEFE" w:rsidR="00A836B9" w:rsidRDefault="00CB6669" w:rsidP="007B5322">
      <w:pPr>
        <w:tabs>
          <w:tab w:val="left" w:pos="4402"/>
        </w:tabs>
        <w:spacing w:before="240" w:line="276" w:lineRule="auto"/>
        <w:jc w:val="both"/>
        <w:rPr>
          <w:rFonts w:ascii="Bookman Old Style" w:hAnsi="Bookman Old Style" w:cs="Arial"/>
        </w:rPr>
      </w:pPr>
      <w:r>
        <w:rPr>
          <w:rFonts w:ascii="Bookman Old Style" w:hAnsi="Bookman Old Style" w:cs="Arial"/>
        </w:rPr>
        <w:t xml:space="preserve">La moyenne globale des membres par GFS est de 153 personnes. Toutefois, on note des grandes disparités entre les régions avec </w:t>
      </w:r>
      <w:r w:rsidR="00831EAA">
        <w:rPr>
          <w:rFonts w:ascii="Bookman Old Style" w:hAnsi="Bookman Old Style" w:cs="Arial"/>
        </w:rPr>
        <w:t xml:space="preserve">par exemple </w:t>
      </w:r>
      <w:r>
        <w:rPr>
          <w:rFonts w:ascii="Bookman Old Style" w:hAnsi="Bookman Old Style" w:cs="Arial"/>
        </w:rPr>
        <w:t>205 membres par GFS à Maradi contre 110 à Tahoua.</w:t>
      </w:r>
    </w:p>
    <w:p w14:paraId="452BC0E9" w14:textId="77777777" w:rsidR="00CB6669" w:rsidRDefault="00CB6669" w:rsidP="00CB6669">
      <w:pPr>
        <w:tabs>
          <w:tab w:val="left" w:pos="4402"/>
        </w:tabs>
        <w:spacing w:line="276" w:lineRule="auto"/>
        <w:jc w:val="both"/>
        <w:rPr>
          <w:rFonts w:ascii="Bookman Old Style" w:hAnsi="Bookman Old Style" w:cs="Arial"/>
        </w:rPr>
      </w:pPr>
    </w:p>
    <w:p w14:paraId="422F41BA" w14:textId="0A34A270" w:rsidR="00A836B9" w:rsidRDefault="00A836B9" w:rsidP="00A836B9">
      <w:pPr>
        <w:tabs>
          <w:tab w:val="left" w:pos="4402"/>
        </w:tabs>
        <w:spacing w:line="276" w:lineRule="auto"/>
        <w:jc w:val="center"/>
        <w:rPr>
          <w:rFonts w:ascii="Bookman Old Style" w:hAnsi="Bookman Old Style" w:cs="Arial"/>
        </w:rPr>
      </w:pPr>
      <w:r>
        <w:rPr>
          <w:noProof/>
        </w:rPr>
        <w:lastRenderedPageBreak/>
        <w:drawing>
          <wp:inline distT="0" distB="0" distL="0" distR="0" wp14:anchorId="3CAC7071" wp14:editId="3E6281CF">
            <wp:extent cx="4572000" cy="2472690"/>
            <wp:effectExtent l="0" t="0" r="0" b="3810"/>
            <wp:docPr id="11" name="Graphique 11">
              <a:extLst xmlns:a="http://schemas.openxmlformats.org/drawingml/2006/main">
                <a:ext uri="{FF2B5EF4-FFF2-40B4-BE49-F238E27FC236}">
                  <a16:creationId xmlns:a16="http://schemas.microsoft.com/office/drawing/2014/main" id="{62C1424B-E360-4A9E-B4E7-E8738CD41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D7AF5E" w14:textId="4984F343" w:rsidR="000E18CE" w:rsidRPr="000E18CE" w:rsidRDefault="000D4946" w:rsidP="003D37B5">
      <w:pPr>
        <w:pStyle w:val="Lgende"/>
        <w:rPr>
          <w:rFonts w:ascii="Bookman Old Style" w:hAnsi="Bookman Old Style" w:cs="Arial"/>
        </w:rPr>
      </w:pPr>
      <w:r>
        <w:rPr>
          <w:rFonts w:ascii="Bookman Old Style" w:hAnsi="Bookman Old Style" w:cs="Arial"/>
        </w:rPr>
        <w:t xml:space="preserve">                </w:t>
      </w:r>
      <w:r w:rsidR="00325BAA">
        <w:rPr>
          <w:rFonts w:ascii="Bookman Old Style" w:hAnsi="Bookman Old Style" w:cs="Arial"/>
        </w:rPr>
        <w:t xml:space="preserve"> </w:t>
      </w:r>
      <w:bookmarkStart w:id="23" w:name="_Toc97823216"/>
      <w:r w:rsidR="00FC0713">
        <w:t xml:space="preserve">Figure </w:t>
      </w:r>
      <w:fldSimple w:instr=" SEQ Figure \* ARABIC ">
        <w:r w:rsidR="004F4E33">
          <w:rPr>
            <w:noProof/>
          </w:rPr>
          <w:t>3</w:t>
        </w:r>
      </w:fldSimple>
      <w:r w:rsidR="00FC0713">
        <w:t> : Moyenne des membres GFS par Région</w:t>
      </w:r>
      <w:bookmarkEnd w:id="23"/>
    </w:p>
    <w:p w14:paraId="40B76F99" w14:textId="77777777" w:rsidR="000E18CE" w:rsidRDefault="000E18CE" w:rsidP="00A836B9">
      <w:pPr>
        <w:tabs>
          <w:tab w:val="left" w:pos="4402"/>
        </w:tabs>
        <w:spacing w:line="276" w:lineRule="auto"/>
        <w:jc w:val="center"/>
        <w:rPr>
          <w:rFonts w:ascii="Bookman Old Style" w:hAnsi="Bookman Old Style" w:cs="Arial"/>
        </w:rPr>
      </w:pPr>
    </w:p>
    <w:p w14:paraId="3A84562E" w14:textId="12C199DF" w:rsidR="00A836B9" w:rsidRPr="004058C5" w:rsidRDefault="006341AD" w:rsidP="00CC71A8">
      <w:pPr>
        <w:pStyle w:val="Paragraphedeliste"/>
        <w:numPr>
          <w:ilvl w:val="1"/>
          <w:numId w:val="3"/>
        </w:numPr>
        <w:tabs>
          <w:tab w:val="left" w:pos="4402"/>
        </w:tabs>
        <w:spacing w:line="276" w:lineRule="auto"/>
        <w:jc w:val="both"/>
        <w:outlineLvl w:val="1"/>
        <w:rPr>
          <w:rFonts w:ascii="Bookman Old Style" w:hAnsi="Bookman Old Style" w:cs="Arial"/>
          <w:b/>
          <w:bCs/>
        </w:rPr>
      </w:pPr>
      <w:bookmarkStart w:id="24" w:name="_Toc97822354"/>
      <w:r w:rsidRPr="004058C5">
        <w:rPr>
          <w:rFonts w:ascii="Bookman Old Style" w:hAnsi="Bookman Old Style" w:cs="Arial"/>
          <w:b/>
          <w:bCs/>
        </w:rPr>
        <w:t>Informations générales sur les bénéficiaires enquêtées</w:t>
      </w:r>
      <w:bookmarkEnd w:id="24"/>
    </w:p>
    <w:p w14:paraId="6DEE86DD" w14:textId="1F166724" w:rsidR="00AF0052" w:rsidRPr="00CE718E" w:rsidRDefault="00DA79F9" w:rsidP="00CE718E">
      <w:pPr>
        <w:pStyle w:val="Titre3"/>
        <w:numPr>
          <w:ilvl w:val="0"/>
          <w:numId w:val="0"/>
        </w:numPr>
        <w:ind w:left="720" w:hanging="720"/>
        <w:rPr>
          <w:rFonts w:ascii="Bookman Old Style" w:hAnsi="Bookman Old Style" w:cs="Arial"/>
          <w:i/>
          <w:iCs/>
        </w:rPr>
      </w:pPr>
      <w:bookmarkStart w:id="25" w:name="_Toc97822355"/>
      <w:r>
        <w:rPr>
          <w:rFonts w:ascii="Bookman Old Style" w:hAnsi="Bookman Old Style" w:cs="Arial"/>
          <w:i/>
          <w:iCs/>
        </w:rPr>
        <w:t>5</w:t>
      </w:r>
      <w:r w:rsidR="00CE718E" w:rsidRPr="00CE718E">
        <w:rPr>
          <w:rFonts w:ascii="Bookman Old Style" w:hAnsi="Bookman Old Style" w:cs="Arial"/>
          <w:i/>
          <w:iCs/>
        </w:rPr>
        <w:t>.2.1. Type et taille des ménages</w:t>
      </w:r>
      <w:bookmarkEnd w:id="25"/>
      <w:r w:rsidR="00CE718E" w:rsidRPr="00CE718E">
        <w:rPr>
          <w:rFonts w:ascii="Bookman Old Style" w:hAnsi="Bookman Old Style" w:cs="Arial"/>
          <w:i/>
          <w:iCs/>
        </w:rPr>
        <w:t xml:space="preserve"> </w:t>
      </w:r>
    </w:p>
    <w:p w14:paraId="540020EF" w14:textId="7696C1B3" w:rsidR="00CE718E" w:rsidRDefault="00E229BA" w:rsidP="00E229BA">
      <w:pPr>
        <w:tabs>
          <w:tab w:val="left" w:pos="4402"/>
        </w:tabs>
        <w:spacing w:before="240" w:line="276" w:lineRule="auto"/>
        <w:jc w:val="both"/>
        <w:rPr>
          <w:rFonts w:ascii="Bookman Old Style" w:hAnsi="Bookman Old Style" w:cs="Arial"/>
        </w:rPr>
      </w:pPr>
      <w:r>
        <w:rPr>
          <w:rFonts w:ascii="Bookman Old Style" w:hAnsi="Bookman Old Style" w:cs="Arial"/>
        </w:rPr>
        <w:t xml:space="preserve">Au cours de cette enquête </w:t>
      </w:r>
      <w:r w:rsidR="00C71730">
        <w:rPr>
          <w:rFonts w:ascii="Bookman Old Style" w:hAnsi="Bookman Old Style" w:cs="Arial"/>
        </w:rPr>
        <w:t xml:space="preserve">56% des </w:t>
      </w:r>
      <w:r>
        <w:rPr>
          <w:rFonts w:ascii="Bookman Old Style" w:hAnsi="Bookman Old Style" w:cs="Arial"/>
        </w:rPr>
        <w:t>femmes interrogées sont issues des ménages polygames contre</w:t>
      </w:r>
      <w:r w:rsidR="00C71730">
        <w:rPr>
          <w:rFonts w:ascii="Bookman Old Style" w:hAnsi="Bookman Old Style" w:cs="Arial"/>
        </w:rPr>
        <w:t xml:space="preserve"> 44%</w:t>
      </w:r>
      <w:r>
        <w:rPr>
          <w:rFonts w:ascii="Bookman Old Style" w:hAnsi="Bookman Old Style" w:cs="Arial"/>
        </w:rPr>
        <w:t xml:space="preserve"> des familles monogames.</w:t>
      </w:r>
      <w:r w:rsidR="006E296D">
        <w:rPr>
          <w:rFonts w:ascii="Bookman Old Style" w:hAnsi="Bookman Old Style" w:cs="Arial"/>
        </w:rPr>
        <w:t xml:space="preserve"> La polygamie est plus fréquente à Maradi où sur les 81 femmes enquêtées, 58% relèvent des familles polygames contre respectivement 40 sur </w:t>
      </w:r>
      <w:r w:rsidR="005E54FF">
        <w:rPr>
          <w:rFonts w:ascii="Bookman Old Style" w:hAnsi="Bookman Old Style" w:cs="Arial"/>
        </w:rPr>
        <w:t>84</w:t>
      </w:r>
      <w:r w:rsidR="006E296D">
        <w:rPr>
          <w:rFonts w:ascii="Bookman Old Style" w:hAnsi="Bookman Old Style" w:cs="Arial"/>
        </w:rPr>
        <w:t xml:space="preserve"> à Tahoua et 39 sur </w:t>
      </w:r>
      <w:r w:rsidR="005E54FF">
        <w:rPr>
          <w:rFonts w:ascii="Bookman Old Style" w:hAnsi="Bookman Old Style" w:cs="Arial"/>
        </w:rPr>
        <w:t>79 à Zinder.</w:t>
      </w:r>
    </w:p>
    <w:p w14:paraId="4FC8EC3E" w14:textId="598F0F89" w:rsidR="00CE718E" w:rsidRDefault="00CE718E" w:rsidP="002B0E41">
      <w:pPr>
        <w:tabs>
          <w:tab w:val="left" w:pos="4402"/>
        </w:tabs>
        <w:spacing w:line="276" w:lineRule="auto"/>
        <w:jc w:val="both"/>
        <w:rPr>
          <w:rFonts w:ascii="Bookman Old Style" w:hAnsi="Bookman Old Style" w:cs="Arial"/>
        </w:rPr>
      </w:pPr>
    </w:p>
    <w:p w14:paraId="6053DE6C" w14:textId="47DB95DD" w:rsidR="00CE718E" w:rsidRDefault="00CE718E" w:rsidP="00CE718E">
      <w:pPr>
        <w:tabs>
          <w:tab w:val="left" w:pos="4402"/>
        </w:tabs>
        <w:spacing w:line="276" w:lineRule="auto"/>
        <w:jc w:val="center"/>
        <w:rPr>
          <w:rFonts w:ascii="Bookman Old Style" w:hAnsi="Bookman Old Style" w:cs="Arial"/>
        </w:rPr>
      </w:pPr>
      <w:r>
        <w:rPr>
          <w:noProof/>
        </w:rPr>
        <w:drawing>
          <wp:inline distT="0" distB="0" distL="0" distR="0" wp14:anchorId="5D332960" wp14:editId="0EC728D6">
            <wp:extent cx="4572000" cy="2743200"/>
            <wp:effectExtent l="0" t="0" r="0" b="0"/>
            <wp:docPr id="81" name="Graphique 81">
              <a:extLst xmlns:a="http://schemas.openxmlformats.org/drawingml/2006/main">
                <a:ext uri="{FF2B5EF4-FFF2-40B4-BE49-F238E27FC236}">
                  <a16:creationId xmlns:a16="http://schemas.microsoft.com/office/drawing/2014/main" id="{9BC7323B-6217-4BE6-BFF8-AFC9C934B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111839" w14:textId="08A2E17B" w:rsidR="00CE718E" w:rsidRDefault="004F4E33" w:rsidP="004F4E33">
      <w:pPr>
        <w:pStyle w:val="Lgende"/>
        <w:rPr>
          <w:rFonts w:ascii="Bookman Old Style" w:hAnsi="Bookman Old Style" w:cs="Arial"/>
        </w:rPr>
      </w:pPr>
      <w:r>
        <w:t xml:space="preserve">                    </w:t>
      </w:r>
      <w:bookmarkStart w:id="26" w:name="_Toc97823217"/>
      <w:r>
        <w:t xml:space="preserve">Figure </w:t>
      </w:r>
      <w:fldSimple w:instr=" SEQ Figure \* ARABIC ">
        <w:r>
          <w:rPr>
            <w:noProof/>
          </w:rPr>
          <w:t>4</w:t>
        </w:r>
      </w:fldSimple>
      <w:r>
        <w:t> : Type de ménage</w:t>
      </w:r>
      <w:bookmarkEnd w:id="26"/>
      <w:r w:rsidR="00402B67">
        <w:t>-enquête 2021</w:t>
      </w:r>
    </w:p>
    <w:p w14:paraId="0D97F073" w14:textId="1D1FFF3F" w:rsidR="00CE718E" w:rsidRDefault="00E229BA" w:rsidP="002A693C">
      <w:pPr>
        <w:tabs>
          <w:tab w:val="left" w:pos="4402"/>
        </w:tabs>
        <w:spacing w:line="276" w:lineRule="auto"/>
        <w:jc w:val="both"/>
        <w:rPr>
          <w:rFonts w:ascii="Bookman Old Style" w:hAnsi="Bookman Old Style" w:cs="Arial"/>
        </w:rPr>
      </w:pPr>
      <w:r>
        <w:rPr>
          <w:rFonts w:ascii="Bookman Old Style" w:hAnsi="Bookman Old Style" w:cs="Arial"/>
        </w:rPr>
        <w:t xml:space="preserve">Par rapport à la taille par type des ménages, cette figure </w:t>
      </w:r>
      <w:r w:rsidR="002A693C">
        <w:rPr>
          <w:rFonts w:ascii="Bookman Old Style" w:hAnsi="Bookman Old Style" w:cs="Arial"/>
        </w:rPr>
        <w:t>nous renseigne que les ménages polygames ont 2 fois plus des personnes que celles monogames. Et cela bien que le nombre des ménages polygames ne soit le double de</w:t>
      </w:r>
      <w:r>
        <w:rPr>
          <w:rFonts w:ascii="Bookman Old Style" w:hAnsi="Bookman Old Style" w:cs="Arial"/>
        </w:rPr>
        <w:t xml:space="preserve"> </w:t>
      </w:r>
      <w:r w:rsidR="002A693C">
        <w:rPr>
          <w:rFonts w:ascii="Bookman Old Style" w:hAnsi="Bookman Old Style" w:cs="Arial"/>
        </w:rPr>
        <w:t xml:space="preserve">ceux monogames. Ces chiffres peuvent s’expliqué par une forte concurrence entre </w:t>
      </w:r>
      <w:r w:rsidR="002A693C">
        <w:rPr>
          <w:rFonts w:ascii="Bookman Old Style" w:hAnsi="Bookman Old Style" w:cs="Arial"/>
        </w:rPr>
        <w:lastRenderedPageBreak/>
        <w:t xml:space="preserve">les femmes pour donner plus d’enfants et pouvoir de bénéficier des grosses parts d’héritage.  </w:t>
      </w:r>
    </w:p>
    <w:p w14:paraId="43F246EF" w14:textId="7AE02E0F" w:rsidR="00CE718E" w:rsidRDefault="00CE718E" w:rsidP="00CE718E">
      <w:pPr>
        <w:tabs>
          <w:tab w:val="left" w:pos="4402"/>
        </w:tabs>
        <w:spacing w:line="276" w:lineRule="auto"/>
        <w:jc w:val="center"/>
        <w:rPr>
          <w:rFonts w:ascii="Bookman Old Style" w:hAnsi="Bookman Old Style" w:cs="Arial"/>
        </w:rPr>
      </w:pPr>
    </w:p>
    <w:p w14:paraId="0553F55B" w14:textId="5CDE224C" w:rsidR="00CE718E" w:rsidRDefault="00CE718E" w:rsidP="00E229BA">
      <w:pPr>
        <w:tabs>
          <w:tab w:val="left" w:pos="4402"/>
        </w:tabs>
        <w:spacing w:line="276" w:lineRule="auto"/>
        <w:jc w:val="center"/>
        <w:rPr>
          <w:rFonts w:ascii="Bookman Old Style" w:hAnsi="Bookman Old Style" w:cs="Arial"/>
        </w:rPr>
      </w:pPr>
      <w:r>
        <w:rPr>
          <w:noProof/>
        </w:rPr>
        <w:drawing>
          <wp:inline distT="0" distB="0" distL="0" distR="0" wp14:anchorId="50D694E6" wp14:editId="531B2CD8">
            <wp:extent cx="4572000" cy="2743200"/>
            <wp:effectExtent l="0" t="0" r="0" b="0"/>
            <wp:docPr id="82" name="Graphique 82">
              <a:extLst xmlns:a="http://schemas.openxmlformats.org/drawingml/2006/main">
                <a:ext uri="{FF2B5EF4-FFF2-40B4-BE49-F238E27FC236}">
                  <a16:creationId xmlns:a16="http://schemas.microsoft.com/office/drawing/2014/main" id="{3CF53981-B70D-42CB-B55D-B48CC1329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0218BE" w14:textId="63905008" w:rsidR="004F4E33" w:rsidRDefault="004F4E33" w:rsidP="004F4E33">
      <w:pPr>
        <w:pStyle w:val="Lgende"/>
        <w:rPr>
          <w:rFonts w:ascii="Bookman Old Style" w:hAnsi="Bookman Old Style" w:cs="Arial"/>
          <w:i w:val="0"/>
          <w:iCs w:val="0"/>
        </w:rPr>
      </w:pPr>
      <w:r>
        <w:t xml:space="preserve">                   </w:t>
      </w:r>
      <w:bookmarkStart w:id="27" w:name="_Toc97823218"/>
      <w:r>
        <w:t xml:space="preserve">Figure </w:t>
      </w:r>
      <w:fldSimple w:instr=" SEQ Figure \* ARABIC ">
        <w:r>
          <w:rPr>
            <w:noProof/>
          </w:rPr>
          <w:t>5</w:t>
        </w:r>
      </w:fldSimple>
      <w:r>
        <w:t> : Taille par type de ménage</w:t>
      </w:r>
      <w:bookmarkEnd w:id="27"/>
    </w:p>
    <w:p w14:paraId="26734580" w14:textId="424A7A2A" w:rsidR="00CE718E" w:rsidRDefault="00DA79F9" w:rsidP="00CE718E">
      <w:pPr>
        <w:pStyle w:val="Titre3"/>
        <w:numPr>
          <w:ilvl w:val="0"/>
          <w:numId w:val="0"/>
        </w:numPr>
        <w:ind w:left="720" w:hanging="720"/>
        <w:rPr>
          <w:rFonts w:ascii="Bookman Old Style" w:hAnsi="Bookman Old Style" w:cs="Arial"/>
          <w:i/>
          <w:iCs/>
        </w:rPr>
      </w:pPr>
      <w:bookmarkStart w:id="28" w:name="_Toc97822356"/>
      <w:r>
        <w:rPr>
          <w:rFonts w:ascii="Bookman Old Style" w:hAnsi="Bookman Old Style" w:cs="Arial"/>
          <w:i/>
          <w:iCs/>
        </w:rPr>
        <w:t>5</w:t>
      </w:r>
      <w:r w:rsidR="00CE718E" w:rsidRPr="00CE718E">
        <w:rPr>
          <w:rFonts w:ascii="Bookman Old Style" w:hAnsi="Bookman Old Style" w:cs="Arial"/>
          <w:i/>
          <w:iCs/>
        </w:rPr>
        <w:t>.2.2. Taille de ménages et proportion des enfants de moins de 5 ans</w:t>
      </w:r>
      <w:bookmarkEnd w:id="28"/>
    </w:p>
    <w:p w14:paraId="1D80BF7F" w14:textId="51653841" w:rsidR="006E296D" w:rsidRDefault="005E54FF" w:rsidP="005E54FF">
      <w:pPr>
        <w:spacing w:before="240" w:line="276" w:lineRule="auto"/>
        <w:jc w:val="both"/>
        <w:rPr>
          <w:rFonts w:ascii="Bookman Old Style" w:hAnsi="Bookman Old Style"/>
        </w:rPr>
      </w:pPr>
      <w:r w:rsidRPr="00181D1E">
        <w:rPr>
          <w:rFonts w:ascii="Bookman Old Style" w:hAnsi="Bookman Old Style"/>
        </w:rPr>
        <w:t xml:space="preserve">La taille moyenne des ménages est de 12 personnes. </w:t>
      </w:r>
      <w:r>
        <w:rPr>
          <w:rFonts w:ascii="Bookman Old Style" w:hAnsi="Bookman Old Style"/>
        </w:rPr>
        <w:t>Toutefois</w:t>
      </w:r>
      <w:r w:rsidRPr="00181D1E">
        <w:rPr>
          <w:rFonts w:ascii="Bookman Old Style" w:hAnsi="Bookman Old Style"/>
        </w:rPr>
        <w:t>, on note des disparités entre les régions. Ainsi, la taille moyenne des ménages à Maradi est de 16 personnes contre 10 à Zinder.</w:t>
      </w:r>
      <w:r>
        <w:rPr>
          <w:rFonts w:ascii="Bookman Old Style" w:hAnsi="Bookman Old Style"/>
        </w:rPr>
        <w:t xml:space="preserve"> </w:t>
      </w:r>
    </w:p>
    <w:p w14:paraId="332BFC91" w14:textId="29027EF1" w:rsidR="005E54FF" w:rsidRDefault="005E54FF" w:rsidP="00735B39">
      <w:pPr>
        <w:spacing w:before="240" w:line="276" w:lineRule="auto"/>
        <w:jc w:val="both"/>
        <w:rPr>
          <w:rFonts w:ascii="Bookman Old Style" w:hAnsi="Bookman Old Style"/>
        </w:rPr>
      </w:pPr>
      <w:r>
        <w:rPr>
          <w:rFonts w:ascii="Bookman Old Style" w:hAnsi="Bookman Old Style"/>
        </w:rPr>
        <w:t>Par ailleurs, la proportion des enfants de moins de 5 ans est de 25% en moyenne. Ils représentent 27% des membres de ménages à Tahoua et jusqu’à 30%</w:t>
      </w:r>
      <w:r w:rsidR="00735B39">
        <w:rPr>
          <w:rFonts w:ascii="Bookman Old Style" w:hAnsi="Bookman Old Style"/>
        </w:rPr>
        <w:t xml:space="preserve"> </w:t>
      </w:r>
      <w:r w:rsidR="00735B39" w:rsidRPr="00102DC7">
        <w:rPr>
          <w:rFonts w:ascii="Bookman Old Style" w:hAnsi="Bookman Old Style"/>
        </w:rPr>
        <w:t>à Zinder</w:t>
      </w:r>
      <w:r w:rsidR="00FE3B77" w:rsidRPr="00102DC7">
        <w:rPr>
          <w:rFonts w:ascii="Bookman Old Style" w:hAnsi="Bookman Old Style"/>
        </w:rPr>
        <w:t xml:space="preserve">. </w:t>
      </w:r>
      <w:r w:rsidR="00102DC7" w:rsidRPr="00102DC7">
        <w:rPr>
          <w:rFonts w:ascii="Bookman Old Style" w:hAnsi="Bookman Old Style"/>
        </w:rPr>
        <w:t>Ces</w:t>
      </w:r>
      <w:r w:rsidR="00102DC7">
        <w:rPr>
          <w:rFonts w:ascii="Bookman Old Style" w:hAnsi="Bookman Old Style"/>
        </w:rPr>
        <w:t xml:space="preserve"> proportions s’expliquent par le taux d’accroissement intercensitaire annuel moyen de l’ordre de 4,7% à Tahoua et Zinder contre 3,7% à Maradi pour un taux moyen national de 3,9% en 2012.</w:t>
      </w:r>
    </w:p>
    <w:p w14:paraId="5FCCA08A" w14:textId="77777777" w:rsidR="00406E1C" w:rsidRPr="00735B39" w:rsidRDefault="00406E1C" w:rsidP="00406E1C">
      <w:pPr>
        <w:spacing w:line="276" w:lineRule="auto"/>
        <w:jc w:val="both"/>
        <w:rPr>
          <w:rFonts w:ascii="Bookman Old Style" w:hAnsi="Bookman Old Style"/>
        </w:rPr>
      </w:pPr>
    </w:p>
    <w:p w14:paraId="1B20C30B" w14:textId="39A16E52" w:rsidR="00CE718E" w:rsidRDefault="00E229BA" w:rsidP="00406E1C">
      <w:pPr>
        <w:jc w:val="center"/>
        <w:rPr>
          <w:rFonts w:ascii="Bookman Old Style" w:hAnsi="Bookman Old Style" w:cs="Arial"/>
        </w:rPr>
      </w:pPr>
      <w:r>
        <w:rPr>
          <w:noProof/>
        </w:rPr>
        <w:drawing>
          <wp:inline distT="0" distB="0" distL="0" distR="0" wp14:anchorId="1C5F1781" wp14:editId="7BAED779">
            <wp:extent cx="4632960" cy="2446020"/>
            <wp:effectExtent l="0" t="0" r="15240" b="11430"/>
            <wp:docPr id="83" name="Graphique 83">
              <a:extLst xmlns:a="http://schemas.openxmlformats.org/drawingml/2006/main">
                <a:ext uri="{FF2B5EF4-FFF2-40B4-BE49-F238E27FC236}">
                  <a16:creationId xmlns:a16="http://schemas.microsoft.com/office/drawing/2014/main" id="{7EE2548A-3ED6-4813-A289-984101F50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1204E1" w14:textId="3387AFEE" w:rsidR="00E229BA" w:rsidRDefault="00406E1C" w:rsidP="00406E1C">
      <w:pPr>
        <w:pStyle w:val="Lgende"/>
      </w:pPr>
      <w:r>
        <w:t xml:space="preserve">                   </w:t>
      </w:r>
      <w:bookmarkStart w:id="29" w:name="_Toc97823219"/>
      <w:r w:rsidR="004F4E33">
        <w:t xml:space="preserve">Figure </w:t>
      </w:r>
      <w:fldSimple w:instr=" SEQ Figure \* ARABIC ">
        <w:r w:rsidR="004F4E33">
          <w:t>6</w:t>
        </w:r>
      </w:fldSimple>
      <w:r w:rsidR="004F4E33">
        <w:t> : Proportion des enfants de moins de 5ans par Région</w:t>
      </w:r>
      <w:bookmarkEnd w:id="29"/>
    </w:p>
    <w:p w14:paraId="57CD412F" w14:textId="022CC34B" w:rsidR="00E229BA" w:rsidRPr="004F4E33" w:rsidRDefault="00181D1E" w:rsidP="004F4E33">
      <w:pPr>
        <w:spacing w:before="240" w:line="276" w:lineRule="auto"/>
        <w:jc w:val="both"/>
        <w:rPr>
          <w:rFonts w:ascii="Bookman Old Style" w:hAnsi="Bookman Old Style"/>
        </w:rPr>
      </w:pPr>
      <w:r>
        <w:rPr>
          <w:rFonts w:ascii="Bookman Old Style" w:hAnsi="Bookman Old Style"/>
        </w:rPr>
        <w:lastRenderedPageBreak/>
        <w:t>Suivant les PDE on relève qu’au niveau des villages des PDE de Bandé et Guidimouni</w:t>
      </w:r>
      <w:r w:rsidR="004F4E33">
        <w:rPr>
          <w:rFonts w:ascii="Bookman Old Style" w:hAnsi="Bookman Old Style"/>
        </w:rPr>
        <w:t xml:space="preserve"> </w:t>
      </w:r>
      <w:r>
        <w:rPr>
          <w:rFonts w:ascii="Bookman Old Style" w:hAnsi="Bookman Old Style"/>
        </w:rPr>
        <w:t>la proportion des enfants de moins de 5 ans est plus élevée et représente 1/3 soit 33% des membres de ménages</w:t>
      </w:r>
      <w:r w:rsidR="004F4E33">
        <w:rPr>
          <w:rFonts w:ascii="Bookman Old Style" w:hAnsi="Bookman Old Style"/>
        </w:rPr>
        <w:t xml:space="preserve">. Le taux le plus bas (18%) se trouve au niveau des villages de Karofane. </w:t>
      </w:r>
    </w:p>
    <w:p w14:paraId="5E7C9EB0" w14:textId="77777777" w:rsidR="00181D1E" w:rsidRDefault="00181D1E" w:rsidP="004F4E33"/>
    <w:p w14:paraId="134F7CCF" w14:textId="28FA71B5" w:rsidR="00E229BA" w:rsidRPr="00E229BA" w:rsidRDefault="00E229BA" w:rsidP="00E229BA">
      <w:pPr>
        <w:jc w:val="center"/>
      </w:pPr>
      <w:r>
        <w:rPr>
          <w:noProof/>
        </w:rPr>
        <w:drawing>
          <wp:inline distT="0" distB="0" distL="0" distR="0" wp14:anchorId="2AE90146" wp14:editId="324A5487">
            <wp:extent cx="4572000" cy="2377440"/>
            <wp:effectExtent l="0" t="0" r="0" b="3810"/>
            <wp:docPr id="84" name="Graphique 84">
              <a:extLst xmlns:a="http://schemas.openxmlformats.org/drawingml/2006/main">
                <a:ext uri="{FF2B5EF4-FFF2-40B4-BE49-F238E27FC236}">
                  <a16:creationId xmlns:a16="http://schemas.microsoft.com/office/drawing/2014/main" id="{7EE2548A-3ED6-4813-A289-984101F50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F3D571" w14:textId="0A1D28C9" w:rsidR="004F4E33" w:rsidRDefault="004F4E33" w:rsidP="004F4E33">
      <w:pPr>
        <w:pStyle w:val="Lgende"/>
        <w:rPr>
          <w:rFonts w:ascii="Bookman Old Style" w:hAnsi="Bookman Old Style" w:cs="Arial"/>
          <w:i w:val="0"/>
          <w:iCs w:val="0"/>
        </w:rPr>
      </w:pPr>
      <w:r>
        <w:t xml:space="preserve">                    </w:t>
      </w:r>
      <w:bookmarkStart w:id="30" w:name="_Toc97823220"/>
      <w:r>
        <w:t xml:space="preserve">Figure </w:t>
      </w:r>
      <w:fldSimple w:instr=" SEQ Figure \* ARABIC ">
        <w:r>
          <w:rPr>
            <w:noProof/>
          </w:rPr>
          <w:t>7</w:t>
        </w:r>
      </w:fldSimple>
      <w:r>
        <w:t xml:space="preserve"> : </w:t>
      </w:r>
      <w:r w:rsidRPr="004F4E33">
        <w:t>Proportion des enfants de moins de 5ans par Région</w:t>
      </w:r>
      <w:bookmarkEnd w:id="30"/>
    </w:p>
    <w:p w14:paraId="72206633" w14:textId="407AD362" w:rsidR="00AF0052" w:rsidRDefault="00DA79F9" w:rsidP="00CC71A8">
      <w:pPr>
        <w:pStyle w:val="Titre3"/>
        <w:numPr>
          <w:ilvl w:val="0"/>
          <w:numId w:val="0"/>
        </w:numPr>
        <w:ind w:left="720" w:hanging="720"/>
        <w:rPr>
          <w:rFonts w:ascii="Bookman Old Style" w:hAnsi="Bookman Old Style" w:cs="Arial"/>
          <w:i/>
          <w:iCs/>
        </w:rPr>
      </w:pPr>
      <w:bookmarkStart w:id="31" w:name="_Toc97822357"/>
      <w:r>
        <w:rPr>
          <w:rFonts w:ascii="Bookman Old Style" w:hAnsi="Bookman Old Style" w:cs="Arial"/>
          <w:i/>
          <w:iCs/>
        </w:rPr>
        <w:t>5</w:t>
      </w:r>
      <w:r w:rsidR="00AF0052" w:rsidRPr="00AF0052">
        <w:rPr>
          <w:rFonts w:ascii="Bookman Old Style" w:hAnsi="Bookman Old Style" w:cs="Arial"/>
          <w:i/>
          <w:iCs/>
        </w:rPr>
        <w:t>.2.</w:t>
      </w:r>
      <w:r w:rsidR="00CE718E">
        <w:rPr>
          <w:rFonts w:ascii="Bookman Old Style" w:hAnsi="Bookman Old Style" w:cs="Arial"/>
          <w:i/>
          <w:iCs/>
        </w:rPr>
        <w:t>3</w:t>
      </w:r>
      <w:r w:rsidR="00AF0052" w:rsidRPr="00AF0052">
        <w:rPr>
          <w:rFonts w:ascii="Bookman Old Style" w:hAnsi="Bookman Old Style" w:cs="Arial"/>
          <w:i/>
          <w:iCs/>
        </w:rPr>
        <w:t>. Taille des ménages et nombre d’actif agricole des ménages</w:t>
      </w:r>
      <w:bookmarkEnd w:id="31"/>
    </w:p>
    <w:p w14:paraId="4E35F888" w14:textId="0FC263C0" w:rsidR="00C21130" w:rsidRDefault="00C57621" w:rsidP="007B5322">
      <w:pPr>
        <w:tabs>
          <w:tab w:val="left" w:pos="4402"/>
        </w:tabs>
        <w:spacing w:before="240" w:line="276" w:lineRule="auto"/>
        <w:jc w:val="both"/>
        <w:rPr>
          <w:rFonts w:ascii="Bookman Old Style" w:hAnsi="Bookman Old Style" w:cs="Arial"/>
        </w:rPr>
      </w:pPr>
      <w:r>
        <w:rPr>
          <w:rFonts w:ascii="Bookman Old Style" w:hAnsi="Bookman Old Style" w:cs="Arial"/>
        </w:rPr>
        <w:t xml:space="preserve">Le tableau ci-dessous nous renseigne sur la situation des ménages et particulièrement en ce qui concerne leur taille moyenne ainsi que le nombre d’actif agricole qu’ils regorgent par Région et par PDE. Globalement on constate que la taille moyenne des ménages des bénéficiaires enquêtées est de 12 personnes. Toutefois, des disparités existent entre les régions avec Maradi qui sort du lot avec en moyenne 16 personnes par ménage. </w:t>
      </w:r>
      <w:r w:rsidR="00F555C3">
        <w:rPr>
          <w:rFonts w:ascii="Bookman Old Style" w:hAnsi="Bookman Old Style" w:cs="Arial"/>
        </w:rPr>
        <w:t>A Tahoua et Zinder la taille moyenne des ménages est sensiblement similaire avec respectivement 11 et 10 personnes par ménage.</w:t>
      </w:r>
    </w:p>
    <w:p w14:paraId="2F797A31" w14:textId="77777777" w:rsidR="00610328" w:rsidRDefault="00610328" w:rsidP="002B0E41">
      <w:pPr>
        <w:tabs>
          <w:tab w:val="left" w:pos="4402"/>
        </w:tabs>
        <w:spacing w:line="276" w:lineRule="auto"/>
        <w:jc w:val="both"/>
        <w:rPr>
          <w:rFonts w:ascii="Bookman Old Style" w:hAnsi="Bookman Old Style" w:cs="Arial"/>
        </w:rPr>
      </w:pPr>
    </w:p>
    <w:p w14:paraId="4898CBDB" w14:textId="3AC6E328" w:rsidR="00C21130" w:rsidRDefault="00325BAA" w:rsidP="00B4164B">
      <w:pPr>
        <w:pStyle w:val="Lgende"/>
        <w:spacing w:after="0"/>
        <w:rPr>
          <w:rFonts w:ascii="Bookman Old Style" w:hAnsi="Bookman Old Style" w:cs="Arial"/>
        </w:rPr>
      </w:pPr>
      <w:r>
        <w:t xml:space="preserve">                  </w:t>
      </w:r>
      <w:bookmarkStart w:id="32" w:name="_Toc97822382"/>
      <w:r w:rsidR="00610328">
        <w:t xml:space="preserve">Tableau </w:t>
      </w:r>
      <w:fldSimple w:instr=" SEQ Tableau \* ARABIC ">
        <w:r w:rsidR="00275B4D">
          <w:rPr>
            <w:noProof/>
          </w:rPr>
          <w:t>3</w:t>
        </w:r>
      </w:fldSimple>
      <w:r w:rsidR="00610328">
        <w:t> : Taille des ménages et nombre d’actifs agricoles</w:t>
      </w:r>
      <w:bookmarkEnd w:id="32"/>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2611"/>
        <w:gridCol w:w="2835"/>
      </w:tblGrid>
      <w:tr w:rsidR="00B9146B" w:rsidRPr="00B9146B" w14:paraId="2F2784CA" w14:textId="77777777" w:rsidTr="006C6ED5">
        <w:trPr>
          <w:trHeight w:val="371"/>
          <w:tblHeader/>
          <w:jc w:val="center"/>
        </w:trPr>
        <w:tc>
          <w:tcPr>
            <w:tcW w:w="1920" w:type="dxa"/>
            <w:shd w:val="clear" w:color="000000" w:fill="D9E7FD"/>
            <w:noWrap/>
            <w:vAlign w:val="center"/>
            <w:hideMark/>
          </w:tcPr>
          <w:p w14:paraId="0205DF02" w14:textId="270EF784" w:rsidR="00B9146B" w:rsidRPr="00B9146B" w:rsidRDefault="00C21130" w:rsidP="00B9146B">
            <w:pPr>
              <w:rPr>
                <w:rFonts w:ascii="Arial" w:hAnsi="Arial" w:cs="Arial"/>
                <w:b/>
                <w:bCs/>
                <w:color w:val="000000"/>
                <w:sz w:val="20"/>
                <w:szCs w:val="20"/>
              </w:rPr>
            </w:pPr>
            <w:r>
              <w:rPr>
                <w:rFonts w:ascii="Arial" w:hAnsi="Arial" w:cs="Arial"/>
                <w:b/>
                <w:bCs/>
                <w:color w:val="000000"/>
                <w:sz w:val="20"/>
                <w:szCs w:val="20"/>
              </w:rPr>
              <w:t>Région/PDE</w:t>
            </w:r>
          </w:p>
        </w:tc>
        <w:tc>
          <w:tcPr>
            <w:tcW w:w="2611" w:type="dxa"/>
            <w:shd w:val="clear" w:color="000000" w:fill="D9E7FD"/>
            <w:vAlign w:val="center"/>
            <w:hideMark/>
          </w:tcPr>
          <w:p w14:paraId="3648EF46" w14:textId="563A3DF9" w:rsidR="00B9146B" w:rsidRPr="00B9146B" w:rsidRDefault="00B9146B" w:rsidP="00B9146B">
            <w:pPr>
              <w:rPr>
                <w:rFonts w:ascii="Arial" w:hAnsi="Arial" w:cs="Arial"/>
                <w:b/>
                <w:bCs/>
                <w:color w:val="000000"/>
                <w:sz w:val="20"/>
                <w:szCs w:val="20"/>
              </w:rPr>
            </w:pPr>
            <w:proofErr w:type="spellStart"/>
            <w:r w:rsidRPr="00B9146B">
              <w:rPr>
                <w:rFonts w:ascii="Arial" w:hAnsi="Arial" w:cs="Arial"/>
                <w:b/>
                <w:bCs/>
                <w:color w:val="000000"/>
                <w:sz w:val="20"/>
                <w:szCs w:val="20"/>
              </w:rPr>
              <w:t>Moy</w:t>
            </w:r>
            <w:proofErr w:type="spellEnd"/>
            <w:r w:rsidRPr="00B9146B">
              <w:rPr>
                <w:rFonts w:ascii="Arial" w:hAnsi="Arial" w:cs="Arial"/>
                <w:b/>
                <w:bCs/>
                <w:color w:val="000000"/>
                <w:sz w:val="20"/>
                <w:szCs w:val="20"/>
              </w:rPr>
              <w:t xml:space="preserve">. Personnes </w:t>
            </w:r>
            <w:r w:rsidR="006628EC" w:rsidRPr="00B9146B">
              <w:rPr>
                <w:rFonts w:ascii="Arial" w:hAnsi="Arial" w:cs="Arial"/>
                <w:b/>
                <w:bCs/>
                <w:color w:val="000000"/>
                <w:sz w:val="20"/>
                <w:szCs w:val="20"/>
              </w:rPr>
              <w:t>ménage</w:t>
            </w:r>
          </w:p>
        </w:tc>
        <w:tc>
          <w:tcPr>
            <w:tcW w:w="2835" w:type="dxa"/>
            <w:shd w:val="clear" w:color="000000" w:fill="D9E7FD"/>
            <w:vAlign w:val="center"/>
            <w:hideMark/>
          </w:tcPr>
          <w:p w14:paraId="271015F8" w14:textId="31940528" w:rsidR="00B9146B" w:rsidRPr="00B9146B" w:rsidRDefault="00B9146B" w:rsidP="00B9146B">
            <w:pPr>
              <w:rPr>
                <w:rFonts w:ascii="Arial" w:hAnsi="Arial" w:cs="Arial"/>
                <w:b/>
                <w:bCs/>
                <w:color w:val="000000"/>
                <w:sz w:val="20"/>
                <w:szCs w:val="20"/>
              </w:rPr>
            </w:pPr>
            <w:proofErr w:type="spellStart"/>
            <w:r w:rsidRPr="00B9146B">
              <w:rPr>
                <w:rFonts w:ascii="Arial" w:hAnsi="Arial" w:cs="Arial"/>
                <w:b/>
                <w:bCs/>
                <w:color w:val="000000"/>
                <w:sz w:val="20"/>
                <w:szCs w:val="20"/>
              </w:rPr>
              <w:t>Moy</w:t>
            </w:r>
            <w:proofErr w:type="spellEnd"/>
            <w:r w:rsidRPr="00B9146B">
              <w:rPr>
                <w:rFonts w:ascii="Arial" w:hAnsi="Arial" w:cs="Arial"/>
                <w:b/>
                <w:bCs/>
                <w:color w:val="000000"/>
                <w:sz w:val="20"/>
                <w:szCs w:val="20"/>
              </w:rPr>
              <w:t xml:space="preserve">. Actif agricole </w:t>
            </w:r>
            <w:r w:rsidR="006628EC" w:rsidRPr="00B9146B">
              <w:rPr>
                <w:rFonts w:ascii="Arial" w:hAnsi="Arial" w:cs="Arial"/>
                <w:b/>
                <w:bCs/>
                <w:color w:val="000000"/>
                <w:sz w:val="20"/>
                <w:szCs w:val="20"/>
              </w:rPr>
              <w:t>ménage</w:t>
            </w:r>
          </w:p>
        </w:tc>
      </w:tr>
      <w:tr w:rsidR="00B9146B" w:rsidRPr="00B9146B" w14:paraId="74E53584" w14:textId="77777777" w:rsidTr="000D4946">
        <w:trPr>
          <w:trHeight w:val="300"/>
          <w:jc w:val="center"/>
        </w:trPr>
        <w:tc>
          <w:tcPr>
            <w:tcW w:w="1920" w:type="dxa"/>
            <w:shd w:val="clear" w:color="auto" w:fill="auto"/>
            <w:noWrap/>
            <w:vAlign w:val="center"/>
            <w:hideMark/>
          </w:tcPr>
          <w:p w14:paraId="1A1E0DFB" w14:textId="77777777" w:rsidR="00B9146B" w:rsidRPr="00B9146B" w:rsidRDefault="00B9146B" w:rsidP="00B9146B">
            <w:pPr>
              <w:rPr>
                <w:rFonts w:ascii="Arial" w:hAnsi="Arial" w:cs="Arial"/>
                <w:b/>
                <w:bCs/>
                <w:color w:val="000000"/>
                <w:sz w:val="20"/>
                <w:szCs w:val="20"/>
              </w:rPr>
            </w:pPr>
            <w:r w:rsidRPr="00B9146B">
              <w:rPr>
                <w:rFonts w:ascii="Arial" w:hAnsi="Arial" w:cs="Arial"/>
                <w:b/>
                <w:bCs/>
                <w:color w:val="000000"/>
                <w:sz w:val="20"/>
                <w:szCs w:val="20"/>
              </w:rPr>
              <w:t>Maradi</w:t>
            </w:r>
          </w:p>
        </w:tc>
        <w:tc>
          <w:tcPr>
            <w:tcW w:w="2611" w:type="dxa"/>
            <w:shd w:val="clear" w:color="auto" w:fill="auto"/>
            <w:noWrap/>
            <w:vAlign w:val="center"/>
            <w:hideMark/>
          </w:tcPr>
          <w:p w14:paraId="0E0B0C6F" w14:textId="77777777" w:rsidR="00B9146B" w:rsidRPr="00B9146B" w:rsidRDefault="00B9146B" w:rsidP="00B9146B">
            <w:pPr>
              <w:jc w:val="right"/>
              <w:rPr>
                <w:rFonts w:ascii="Arial" w:hAnsi="Arial" w:cs="Arial"/>
                <w:b/>
                <w:bCs/>
                <w:color w:val="000000"/>
                <w:sz w:val="20"/>
                <w:szCs w:val="20"/>
              </w:rPr>
            </w:pPr>
            <w:r w:rsidRPr="00B9146B">
              <w:rPr>
                <w:rFonts w:ascii="Arial" w:hAnsi="Arial" w:cs="Arial"/>
                <w:b/>
                <w:bCs/>
                <w:color w:val="000000"/>
                <w:sz w:val="20"/>
                <w:szCs w:val="20"/>
              </w:rPr>
              <w:t>16</w:t>
            </w:r>
          </w:p>
        </w:tc>
        <w:tc>
          <w:tcPr>
            <w:tcW w:w="2835" w:type="dxa"/>
            <w:shd w:val="clear" w:color="auto" w:fill="auto"/>
            <w:noWrap/>
            <w:vAlign w:val="center"/>
            <w:hideMark/>
          </w:tcPr>
          <w:p w14:paraId="58E8C548" w14:textId="77777777" w:rsidR="00B9146B" w:rsidRPr="00B9146B" w:rsidRDefault="00B9146B" w:rsidP="00B9146B">
            <w:pPr>
              <w:jc w:val="right"/>
              <w:rPr>
                <w:rFonts w:ascii="Arial" w:hAnsi="Arial" w:cs="Arial"/>
                <w:b/>
                <w:bCs/>
                <w:color w:val="000000"/>
                <w:sz w:val="20"/>
                <w:szCs w:val="20"/>
              </w:rPr>
            </w:pPr>
            <w:r w:rsidRPr="00B9146B">
              <w:rPr>
                <w:rFonts w:ascii="Arial" w:hAnsi="Arial" w:cs="Arial"/>
                <w:b/>
                <w:bCs/>
                <w:color w:val="000000"/>
                <w:sz w:val="20"/>
                <w:szCs w:val="20"/>
              </w:rPr>
              <w:t>5</w:t>
            </w:r>
          </w:p>
        </w:tc>
      </w:tr>
      <w:tr w:rsidR="00B9146B" w:rsidRPr="00B9146B" w14:paraId="6BD3795A" w14:textId="77777777" w:rsidTr="000D4946">
        <w:trPr>
          <w:trHeight w:val="300"/>
          <w:jc w:val="center"/>
        </w:trPr>
        <w:tc>
          <w:tcPr>
            <w:tcW w:w="1920" w:type="dxa"/>
            <w:shd w:val="clear" w:color="auto" w:fill="auto"/>
            <w:noWrap/>
            <w:vAlign w:val="center"/>
            <w:hideMark/>
          </w:tcPr>
          <w:p w14:paraId="18430B68" w14:textId="77777777" w:rsidR="00B9146B" w:rsidRPr="00B9146B" w:rsidRDefault="00B9146B" w:rsidP="00B9146B">
            <w:pPr>
              <w:ind w:firstLineChars="100" w:firstLine="200"/>
              <w:rPr>
                <w:rFonts w:ascii="Arial" w:hAnsi="Arial" w:cs="Arial"/>
                <w:color w:val="000000"/>
                <w:sz w:val="20"/>
                <w:szCs w:val="20"/>
              </w:rPr>
            </w:pPr>
            <w:proofErr w:type="spellStart"/>
            <w:r w:rsidRPr="00B9146B">
              <w:rPr>
                <w:rFonts w:ascii="Arial" w:hAnsi="Arial" w:cs="Arial"/>
                <w:color w:val="000000"/>
                <w:sz w:val="20"/>
                <w:szCs w:val="20"/>
              </w:rPr>
              <w:t>Guidan_Roumdji</w:t>
            </w:r>
            <w:proofErr w:type="spellEnd"/>
          </w:p>
        </w:tc>
        <w:tc>
          <w:tcPr>
            <w:tcW w:w="2611" w:type="dxa"/>
            <w:shd w:val="clear" w:color="auto" w:fill="auto"/>
            <w:noWrap/>
            <w:vAlign w:val="center"/>
            <w:hideMark/>
          </w:tcPr>
          <w:p w14:paraId="5F195166"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17</w:t>
            </w:r>
          </w:p>
        </w:tc>
        <w:tc>
          <w:tcPr>
            <w:tcW w:w="2835" w:type="dxa"/>
            <w:shd w:val="clear" w:color="auto" w:fill="auto"/>
            <w:noWrap/>
            <w:vAlign w:val="center"/>
            <w:hideMark/>
          </w:tcPr>
          <w:p w14:paraId="69548DDE"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5</w:t>
            </w:r>
          </w:p>
        </w:tc>
      </w:tr>
      <w:tr w:rsidR="00B9146B" w:rsidRPr="00B9146B" w14:paraId="26BB1D78" w14:textId="77777777" w:rsidTr="000D4946">
        <w:trPr>
          <w:trHeight w:val="300"/>
          <w:jc w:val="center"/>
        </w:trPr>
        <w:tc>
          <w:tcPr>
            <w:tcW w:w="1920" w:type="dxa"/>
            <w:shd w:val="clear" w:color="auto" w:fill="auto"/>
            <w:noWrap/>
            <w:vAlign w:val="center"/>
            <w:hideMark/>
          </w:tcPr>
          <w:p w14:paraId="2AE36DA1" w14:textId="77777777" w:rsidR="00B9146B" w:rsidRPr="00B9146B" w:rsidRDefault="00B9146B" w:rsidP="00B9146B">
            <w:pPr>
              <w:ind w:firstLineChars="100" w:firstLine="200"/>
              <w:rPr>
                <w:rFonts w:ascii="Arial" w:hAnsi="Arial" w:cs="Arial"/>
                <w:color w:val="000000"/>
                <w:sz w:val="20"/>
                <w:szCs w:val="20"/>
              </w:rPr>
            </w:pPr>
            <w:r w:rsidRPr="00B9146B">
              <w:rPr>
                <w:rFonts w:ascii="Arial" w:hAnsi="Arial" w:cs="Arial"/>
                <w:color w:val="000000"/>
                <w:sz w:val="20"/>
                <w:szCs w:val="20"/>
              </w:rPr>
              <w:t>Tessaoua</w:t>
            </w:r>
          </w:p>
        </w:tc>
        <w:tc>
          <w:tcPr>
            <w:tcW w:w="2611" w:type="dxa"/>
            <w:shd w:val="clear" w:color="auto" w:fill="auto"/>
            <w:noWrap/>
            <w:vAlign w:val="center"/>
            <w:hideMark/>
          </w:tcPr>
          <w:p w14:paraId="71F17DBF"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16</w:t>
            </w:r>
          </w:p>
        </w:tc>
        <w:tc>
          <w:tcPr>
            <w:tcW w:w="2835" w:type="dxa"/>
            <w:shd w:val="clear" w:color="auto" w:fill="auto"/>
            <w:noWrap/>
            <w:vAlign w:val="center"/>
            <w:hideMark/>
          </w:tcPr>
          <w:p w14:paraId="5871F46F"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5</w:t>
            </w:r>
          </w:p>
        </w:tc>
      </w:tr>
      <w:tr w:rsidR="00B9146B" w:rsidRPr="00B9146B" w14:paraId="24AF0D93" w14:textId="77777777" w:rsidTr="000D4946">
        <w:trPr>
          <w:trHeight w:val="300"/>
          <w:jc w:val="center"/>
        </w:trPr>
        <w:tc>
          <w:tcPr>
            <w:tcW w:w="1920" w:type="dxa"/>
            <w:shd w:val="clear" w:color="auto" w:fill="auto"/>
            <w:noWrap/>
            <w:vAlign w:val="center"/>
            <w:hideMark/>
          </w:tcPr>
          <w:p w14:paraId="73664195" w14:textId="77777777" w:rsidR="00B9146B" w:rsidRPr="00B9146B" w:rsidRDefault="00B9146B" w:rsidP="00B9146B">
            <w:pPr>
              <w:rPr>
                <w:rFonts w:ascii="Arial" w:hAnsi="Arial" w:cs="Arial"/>
                <w:b/>
                <w:bCs/>
                <w:color w:val="000000"/>
                <w:sz w:val="20"/>
                <w:szCs w:val="20"/>
              </w:rPr>
            </w:pPr>
            <w:r w:rsidRPr="00B9146B">
              <w:rPr>
                <w:rFonts w:ascii="Arial" w:hAnsi="Arial" w:cs="Arial"/>
                <w:b/>
                <w:bCs/>
                <w:color w:val="000000"/>
                <w:sz w:val="20"/>
                <w:szCs w:val="20"/>
              </w:rPr>
              <w:t>Tahoua</w:t>
            </w:r>
          </w:p>
        </w:tc>
        <w:tc>
          <w:tcPr>
            <w:tcW w:w="2611" w:type="dxa"/>
            <w:shd w:val="clear" w:color="auto" w:fill="auto"/>
            <w:noWrap/>
            <w:vAlign w:val="center"/>
            <w:hideMark/>
          </w:tcPr>
          <w:p w14:paraId="34EEEBCA" w14:textId="77777777" w:rsidR="00B9146B" w:rsidRPr="00B9146B" w:rsidRDefault="00B9146B" w:rsidP="00B9146B">
            <w:pPr>
              <w:jc w:val="right"/>
              <w:rPr>
                <w:rFonts w:ascii="Arial" w:hAnsi="Arial" w:cs="Arial"/>
                <w:b/>
                <w:bCs/>
                <w:color w:val="000000"/>
                <w:sz w:val="20"/>
                <w:szCs w:val="20"/>
              </w:rPr>
            </w:pPr>
            <w:r w:rsidRPr="00B9146B">
              <w:rPr>
                <w:rFonts w:ascii="Arial" w:hAnsi="Arial" w:cs="Arial"/>
                <w:b/>
                <w:bCs/>
                <w:color w:val="000000"/>
                <w:sz w:val="20"/>
                <w:szCs w:val="20"/>
              </w:rPr>
              <w:t>11</w:t>
            </w:r>
          </w:p>
        </w:tc>
        <w:tc>
          <w:tcPr>
            <w:tcW w:w="2835" w:type="dxa"/>
            <w:shd w:val="clear" w:color="auto" w:fill="auto"/>
            <w:noWrap/>
            <w:vAlign w:val="center"/>
            <w:hideMark/>
          </w:tcPr>
          <w:p w14:paraId="4CD86532" w14:textId="77777777" w:rsidR="00B9146B" w:rsidRPr="00B9146B" w:rsidRDefault="00B9146B" w:rsidP="00B9146B">
            <w:pPr>
              <w:jc w:val="right"/>
              <w:rPr>
                <w:rFonts w:ascii="Arial" w:hAnsi="Arial" w:cs="Arial"/>
                <w:b/>
                <w:bCs/>
                <w:color w:val="000000"/>
                <w:sz w:val="20"/>
                <w:szCs w:val="20"/>
              </w:rPr>
            </w:pPr>
            <w:r w:rsidRPr="00B9146B">
              <w:rPr>
                <w:rFonts w:ascii="Arial" w:hAnsi="Arial" w:cs="Arial"/>
                <w:b/>
                <w:bCs/>
                <w:color w:val="000000"/>
                <w:sz w:val="20"/>
                <w:szCs w:val="20"/>
              </w:rPr>
              <w:t>3</w:t>
            </w:r>
          </w:p>
        </w:tc>
      </w:tr>
      <w:tr w:rsidR="00B9146B" w:rsidRPr="00B9146B" w14:paraId="4CCD6106" w14:textId="77777777" w:rsidTr="000D4946">
        <w:trPr>
          <w:trHeight w:val="300"/>
          <w:jc w:val="center"/>
        </w:trPr>
        <w:tc>
          <w:tcPr>
            <w:tcW w:w="1920" w:type="dxa"/>
            <w:shd w:val="clear" w:color="auto" w:fill="auto"/>
            <w:noWrap/>
            <w:vAlign w:val="center"/>
            <w:hideMark/>
          </w:tcPr>
          <w:p w14:paraId="6AA89525" w14:textId="77777777" w:rsidR="00B9146B" w:rsidRPr="00B9146B" w:rsidRDefault="00B9146B" w:rsidP="00B9146B">
            <w:pPr>
              <w:ind w:firstLineChars="100" w:firstLine="200"/>
              <w:rPr>
                <w:rFonts w:ascii="Arial" w:hAnsi="Arial" w:cs="Arial"/>
                <w:color w:val="000000"/>
                <w:sz w:val="20"/>
                <w:szCs w:val="20"/>
              </w:rPr>
            </w:pPr>
            <w:proofErr w:type="spellStart"/>
            <w:r w:rsidRPr="00B9146B">
              <w:rPr>
                <w:rFonts w:ascii="Arial" w:hAnsi="Arial" w:cs="Arial"/>
                <w:color w:val="000000"/>
                <w:sz w:val="20"/>
                <w:szCs w:val="20"/>
              </w:rPr>
              <w:t>Badaguichiri</w:t>
            </w:r>
            <w:proofErr w:type="spellEnd"/>
          </w:p>
        </w:tc>
        <w:tc>
          <w:tcPr>
            <w:tcW w:w="2611" w:type="dxa"/>
            <w:shd w:val="clear" w:color="auto" w:fill="auto"/>
            <w:noWrap/>
            <w:vAlign w:val="center"/>
            <w:hideMark/>
          </w:tcPr>
          <w:p w14:paraId="606E96FD"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10</w:t>
            </w:r>
          </w:p>
        </w:tc>
        <w:tc>
          <w:tcPr>
            <w:tcW w:w="2835" w:type="dxa"/>
            <w:shd w:val="clear" w:color="auto" w:fill="auto"/>
            <w:noWrap/>
            <w:vAlign w:val="center"/>
            <w:hideMark/>
          </w:tcPr>
          <w:p w14:paraId="0DA34CFE"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3</w:t>
            </w:r>
          </w:p>
        </w:tc>
      </w:tr>
      <w:tr w:rsidR="00B9146B" w:rsidRPr="00B9146B" w14:paraId="3E39C776" w14:textId="77777777" w:rsidTr="000D4946">
        <w:trPr>
          <w:trHeight w:val="300"/>
          <w:jc w:val="center"/>
        </w:trPr>
        <w:tc>
          <w:tcPr>
            <w:tcW w:w="1920" w:type="dxa"/>
            <w:shd w:val="clear" w:color="auto" w:fill="auto"/>
            <w:noWrap/>
            <w:vAlign w:val="center"/>
            <w:hideMark/>
          </w:tcPr>
          <w:p w14:paraId="7E0FF838" w14:textId="77777777" w:rsidR="00B9146B" w:rsidRPr="00B9146B" w:rsidRDefault="00B9146B" w:rsidP="00B9146B">
            <w:pPr>
              <w:ind w:firstLineChars="100" w:firstLine="200"/>
              <w:rPr>
                <w:rFonts w:ascii="Arial" w:hAnsi="Arial" w:cs="Arial"/>
                <w:color w:val="000000"/>
                <w:sz w:val="20"/>
                <w:szCs w:val="20"/>
              </w:rPr>
            </w:pPr>
            <w:r w:rsidRPr="00B9146B">
              <w:rPr>
                <w:rFonts w:ascii="Arial" w:hAnsi="Arial" w:cs="Arial"/>
                <w:color w:val="000000"/>
                <w:sz w:val="20"/>
                <w:szCs w:val="20"/>
              </w:rPr>
              <w:t>Karofane</w:t>
            </w:r>
          </w:p>
        </w:tc>
        <w:tc>
          <w:tcPr>
            <w:tcW w:w="2611" w:type="dxa"/>
            <w:shd w:val="clear" w:color="auto" w:fill="auto"/>
            <w:noWrap/>
            <w:vAlign w:val="center"/>
            <w:hideMark/>
          </w:tcPr>
          <w:p w14:paraId="45B282C4"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11</w:t>
            </w:r>
          </w:p>
        </w:tc>
        <w:tc>
          <w:tcPr>
            <w:tcW w:w="2835" w:type="dxa"/>
            <w:shd w:val="clear" w:color="auto" w:fill="auto"/>
            <w:noWrap/>
            <w:vAlign w:val="center"/>
            <w:hideMark/>
          </w:tcPr>
          <w:p w14:paraId="6C4F6DF2"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4</w:t>
            </w:r>
          </w:p>
        </w:tc>
      </w:tr>
      <w:tr w:rsidR="00B9146B" w:rsidRPr="00B9146B" w14:paraId="434E6508" w14:textId="77777777" w:rsidTr="000D4946">
        <w:trPr>
          <w:trHeight w:val="300"/>
          <w:jc w:val="center"/>
        </w:trPr>
        <w:tc>
          <w:tcPr>
            <w:tcW w:w="1920" w:type="dxa"/>
            <w:shd w:val="clear" w:color="auto" w:fill="auto"/>
            <w:noWrap/>
            <w:vAlign w:val="center"/>
            <w:hideMark/>
          </w:tcPr>
          <w:p w14:paraId="49A5DF18" w14:textId="77777777" w:rsidR="00B9146B" w:rsidRPr="00B9146B" w:rsidRDefault="00B9146B" w:rsidP="00B9146B">
            <w:pPr>
              <w:ind w:firstLineChars="100" w:firstLine="200"/>
              <w:rPr>
                <w:rFonts w:ascii="Arial" w:hAnsi="Arial" w:cs="Arial"/>
                <w:color w:val="000000"/>
                <w:sz w:val="20"/>
                <w:szCs w:val="20"/>
              </w:rPr>
            </w:pPr>
            <w:r w:rsidRPr="00B9146B">
              <w:rPr>
                <w:rFonts w:ascii="Arial" w:hAnsi="Arial" w:cs="Arial"/>
                <w:color w:val="000000"/>
                <w:sz w:val="20"/>
                <w:szCs w:val="20"/>
              </w:rPr>
              <w:t>Tounfafi</w:t>
            </w:r>
          </w:p>
        </w:tc>
        <w:tc>
          <w:tcPr>
            <w:tcW w:w="2611" w:type="dxa"/>
            <w:shd w:val="clear" w:color="auto" w:fill="auto"/>
            <w:noWrap/>
            <w:vAlign w:val="center"/>
            <w:hideMark/>
          </w:tcPr>
          <w:p w14:paraId="7B6C84C4"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12</w:t>
            </w:r>
          </w:p>
        </w:tc>
        <w:tc>
          <w:tcPr>
            <w:tcW w:w="2835" w:type="dxa"/>
            <w:shd w:val="clear" w:color="auto" w:fill="auto"/>
            <w:noWrap/>
            <w:vAlign w:val="center"/>
            <w:hideMark/>
          </w:tcPr>
          <w:p w14:paraId="0D2E465F"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3</w:t>
            </w:r>
          </w:p>
        </w:tc>
      </w:tr>
      <w:tr w:rsidR="00B9146B" w:rsidRPr="00B9146B" w14:paraId="004EE9F0" w14:textId="77777777" w:rsidTr="000D4946">
        <w:trPr>
          <w:trHeight w:val="300"/>
          <w:jc w:val="center"/>
        </w:trPr>
        <w:tc>
          <w:tcPr>
            <w:tcW w:w="1920" w:type="dxa"/>
            <w:shd w:val="clear" w:color="auto" w:fill="auto"/>
            <w:noWrap/>
            <w:vAlign w:val="center"/>
            <w:hideMark/>
          </w:tcPr>
          <w:p w14:paraId="3186B86D" w14:textId="77777777" w:rsidR="00B9146B" w:rsidRPr="00B9146B" w:rsidRDefault="00B9146B" w:rsidP="00B9146B">
            <w:pPr>
              <w:rPr>
                <w:rFonts w:ascii="Arial" w:hAnsi="Arial" w:cs="Arial"/>
                <w:b/>
                <w:bCs/>
                <w:color w:val="000000"/>
                <w:sz w:val="20"/>
                <w:szCs w:val="20"/>
              </w:rPr>
            </w:pPr>
            <w:r w:rsidRPr="00B9146B">
              <w:rPr>
                <w:rFonts w:ascii="Arial" w:hAnsi="Arial" w:cs="Arial"/>
                <w:b/>
                <w:bCs/>
                <w:color w:val="000000"/>
                <w:sz w:val="20"/>
                <w:szCs w:val="20"/>
              </w:rPr>
              <w:t>Zinder</w:t>
            </w:r>
          </w:p>
        </w:tc>
        <w:tc>
          <w:tcPr>
            <w:tcW w:w="2611" w:type="dxa"/>
            <w:shd w:val="clear" w:color="auto" w:fill="auto"/>
            <w:noWrap/>
            <w:vAlign w:val="center"/>
            <w:hideMark/>
          </w:tcPr>
          <w:p w14:paraId="185E033E" w14:textId="77777777" w:rsidR="00B9146B" w:rsidRPr="00B9146B" w:rsidRDefault="00B9146B" w:rsidP="00B9146B">
            <w:pPr>
              <w:jc w:val="right"/>
              <w:rPr>
                <w:rFonts w:ascii="Arial" w:hAnsi="Arial" w:cs="Arial"/>
                <w:b/>
                <w:bCs/>
                <w:color w:val="000000"/>
                <w:sz w:val="20"/>
                <w:szCs w:val="20"/>
              </w:rPr>
            </w:pPr>
            <w:r w:rsidRPr="00B9146B">
              <w:rPr>
                <w:rFonts w:ascii="Arial" w:hAnsi="Arial" w:cs="Arial"/>
                <w:b/>
                <w:bCs/>
                <w:color w:val="000000"/>
                <w:sz w:val="20"/>
                <w:szCs w:val="20"/>
              </w:rPr>
              <w:t>10</w:t>
            </w:r>
          </w:p>
        </w:tc>
        <w:tc>
          <w:tcPr>
            <w:tcW w:w="2835" w:type="dxa"/>
            <w:shd w:val="clear" w:color="auto" w:fill="auto"/>
            <w:noWrap/>
            <w:vAlign w:val="center"/>
            <w:hideMark/>
          </w:tcPr>
          <w:p w14:paraId="69AF2C99" w14:textId="77777777" w:rsidR="00B9146B" w:rsidRPr="00B9146B" w:rsidRDefault="00B9146B" w:rsidP="00B9146B">
            <w:pPr>
              <w:jc w:val="right"/>
              <w:rPr>
                <w:rFonts w:ascii="Arial" w:hAnsi="Arial" w:cs="Arial"/>
                <w:b/>
                <w:bCs/>
                <w:color w:val="000000"/>
                <w:sz w:val="20"/>
                <w:szCs w:val="20"/>
              </w:rPr>
            </w:pPr>
            <w:r w:rsidRPr="00B9146B">
              <w:rPr>
                <w:rFonts w:ascii="Arial" w:hAnsi="Arial" w:cs="Arial"/>
                <w:b/>
                <w:bCs/>
                <w:color w:val="000000"/>
                <w:sz w:val="20"/>
                <w:szCs w:val="20"/>
              </w:rPr>
              <w:t>3</w:t>
            </w:r>
          </w:p>
        </w:tc>
      </w:tr>
      <w:tr w:rsidR="00B9146B" w:rsidRPr="00B9146B" w14:paraId="25DD8093" w14:textId="77777777" w:rsidTr="000D4946">
        <w:trPr>
          <w:trHeight w:val="300"/>
          <w:jc w:val="center"/>
        </w:trPr>
        <w:tc>
          <w:tcPr>
            <w:tcW w:w="1920" w:type="dxa"/>
            <w:shd w:val="clear" w:color="auto" w:fill="auto"/>
            <w:noWrap/>
            <w:vAlign w:val="center"/>
            <w:hideMark/>
          </w:tcPr>
          <w:p w14:paraId="6E71556E" w14:textId="77777777" w:rsidR="00B9146B" w:rsidRPr="00B9146B" w:rsidRDefault="00B9146B" w:rsidP="00B9146B">
            <w:pPr>
              <w:ind w:firstLineChars="100" w:firstLine="200"/>
              <w:rPr>
                <w:rFonts w:ascii="Arial" w:hAnsi="Arial" w:cs="Arial"/>
                <w:color w:val="000000"/>
                <w:sz w:val="20"/>
                <w:szCs w:val="20"/>
              </w:rPr>
            </w:pPr>
            <w:r w:rsidRPr="00B9146B">
              <w:rPr>
                <w:rFonts w:ascii="Arial" w:hAnsi="Arial" w:cs="Arial"/>
                <w:color w:val="000000"/>
                <w:sz w:val="20"/>
                <w:szCs w:val="20"/>
              </w:rPr>
              <w:t>Bande</w:t>
            </w:r>
          </w:p>
        </w:tc>
        <w:tc>
          <w:tcPr>
            <w:tcW w:w="2611" w:type="dxa"/>
            <w:shd w:val="clear" w:color="auto" w:fill="auto"/>
            <w:noWrap/>
            <w:vAlign w:val="center"/>
            <w:hideMark/>
          </w:tcPr>
          <w:p w14:paraId="0CE7547A"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9</w:t>
            </w:r>
          </w:p>
        </w:tc>
        <w:tc>
          <w:tcPr>
            <w:tcW w:w="2835" w:type="dxa"/>
            <w:shd w:val="clear" w:color="auto" w:fill="auto"/>
            <w:noWrap/>
            <w:vAlign w:val="center"/>
            <w:hideMark/>
          </w:tcPr>
          <w:p w14:paraId="21A08365"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3</w:t>
            </w:r>
          </w:p>
        </w:tc>
      </w:tr>
      <w:tr w:rsidR="00B9146B" w:rsidRPr="00B9146B" w14:paraId="18A0A060" w14:textId="77777777" w:rsidTr="000D4946">
        <w:trPr>
          <w:trHeight w:val="300"/>
          <w:jc w:val="center"/>
        </w:trPr>
        <w:tc>
          <w:tcPr>
            <w:tcW w:w="1920" w:type="dxa"/>
            <w:shd w:val="clear" w:color="auto" w:fill="auto"/>
            <w:noWrap/>
            <w:vAlign w:val="center"/>
            <w:hideMark/>
          </w:tcPr>
          <w:p w14:paraId="3D9A5ACC" w14:textId="77777777" w:rsidR="00B9146B" w:rsidRPr="00B9146B" w:rsidRDefault="00B9146B" w:rsidP="00B9146B">
            <w:pPr>
              <w:ind w:firstLineChars="100" w:firstLine="200"/>
              <w:rPr>
                <w:rFonts w:ascii="Arial" w:hAnsi="Arial" w:cs="Arial"/>
                <w:color w:val="000000"/>
                <w:sz w:val="20"/>
                <w:szCs w:val="20"/>
              </w:rPr>
            </w:pPr>
            <w:r w:rsidRPr="00B9146B">
              <w:rPr>
                <w:rFonts w:ascii="Arial" w:hAnsi="Arial" w:cs="Arial"/>
                <w:color w:val="000000"/>
                <w:sz w:val="20"/>
                <w:szCs w:val="20"/>
              </w:rPr>
              <w:t>Doungou</w:t>
            </w:r>
          </w:p>
        </w:tc>
        <w:tc>
          <w:tcPr>
            <w:tcW w:w="2611" w:type="dxa"/>
            <w:shd w:val="clear" w:color="auto" w:fill="auto"/>
            <w:noWrap/>
            <w:vAlign w:val="center"/>
            <w:hideMark/>
          </w:tcPr>
          <w:p w14:paraId="659A2451"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11</w:t>
            </w:r>
          </w:p>
        </w:tc>
        <w:tc>
          <w:tcPr>
            <w:tcW w:w="2835" w:type="dxa"/>
            <w:shd w:val="clear" w:color="auto" w:fill="auto"/>
            <w:noWrap/>
            <w:vAlign w:val="center"/>
            <w:hideMark/>
          </w:tcPr>
          <w:p w14:paraId="657019F4"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4</w:t>
            </w:r>
          </w:p>
        </w:tc>
      </w:tr>
      <w:tr w:rsidR="00B9146B" w:rsidRPr="00B9146B" w14:paraId="6158321A" w14:textId="77777777" w:rsidTr="000D4946">
        <w:trPr>
          <w:trHeight w:val="300"/>
          <w:jc w:val="center"/>
        </w:trPr>
        <w:tc>
          <w:tcPr>
            <w:tcW w:w="1920" w:type="dxa"/>
            <w:shd w:val="clear" w:color="auto" w:fill="auto"/>
            <w:noWrap/>
            <w:vAlign w:val="center"/>
            <w:hideMark/>
          </w:tcPr>
          <w:p w14:paraId="65354A94" w14:textId="77777777" w:rsidR="00B9146B" w:rsidRPr="00B9146B" w:rsidRDefault="00B9146B" w:rsidP="00B9146B">
            <w:pPr>
              <w:ind w:firstLineChars="100" w:firstLine="200"/>
              <w:rPr>
                <w:rFonts w:ascii="Arial" w:hAnsi="Arial" w:cs="Arial"/>
                <w:color w:val="000000"/>
                <w:sz w:val="20"/>
                <w:szCs w:val="20"/>
              </w:rPr>
            </w:pPr>
            <w:r w:rsidRPr="00B9146B">
              <w:rPr>
                <w:rFonts w:ascii="Arial" w:hAnsi="Arial" w:cs="Arial"/>
                <w:color w:val="000000"/>
                <w:sz w:val="20"/>
                <w:szCs w:val="20"/>
              </w:rPr>
              <w:t>Guidimouni</w:t>
            </w:r>
          </w:p>
        </w:tc>
        <w:tc>
          <w:tcPr>
            <w:tcW w:w="2611" w:type="dxa"/>
            <w:shd w:val="clear" w:color="auto" w:fill="auto"/>
            <w:noWrap/>
            <w:vAlign w:val="center"/>
            <w:hideMark/>
          </w:tcPr>
          <w:p w14:paraId="487B0973"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9</w:t>
            </w:r>
          </w:p>
        </w:tc>
        <w:tc>
          <w:tcPr>
            <w:tcW w:w="2835" w:type="dxa"/>
            <w:shd w:val="clear" w:color="auto" w:fill="auto"/>
            <w:noWrap/>
            <w:vAlign w:val="center"/>
            <w:hideMark/>
          </w:tcPr>
          <w:p w14:paraId="33265A05" w14:textId="77777777" w:rsidR="00B9146B" w:rsidRPr="00B9146B" w:rsidRDefault="00B9146B" w:rsidP="00B9146B">
            <w:pPr>
              <w:jc w:val="right"/>
              <w:rPr>
                <w:rFonts w:ascii="Arial" w:hAnsi="Arial" w:cs="Arial"/>
                <w:color w:val="000000"/>
                <w:sz w:val="20"/>
                <w:szCs w:val="20"/>
              </w:rPr>
            </w:pPr>
            <w:r w:rsidRPr="00B9146B">
              <w:rPr>
                <w:rFonts w:ascii="Arial" w:hAnsi="Arial" w:cs="Arial"/>
                <w:color w:val="000000"/>
                <w:sz w:val="20"/>
                <w:szCs w:val="20"/>
              </w:rPr>
              <w:t>3</w:t>
            </w:r>
          </w:p>
        </w:tc>
      </w:tr>
      <w:tr w:rsidR="00B9146B" w:rsidRPr="00B9146B" w14:paraId="549BCA07" w14:textId="77777777" w:rsidTr="000D4946">
        <w:trPr>
          <w:trHeight w:val="300"/>
          <w:jc w:val="center"/>
        </w:trPr>
        <w:tc>
          <w:tcPr>
            <w:tcW w:w="1920" w:type="dxa"/>
            <w:shd w:val="clear" w:color="000000" w:fill="D9E7FD"/>
            <w:noWrap/>
            <w:vAlign w:val="center"/>
            <w:hideMark/>
          </w:tcPr>
          <w:p w14:paraId="0F8709CE" w14:textId="77777777" w:rsidR="00B9146B" w:rsidRPr="00B9146B" w:rsidRDefault="00B9146B" w:rsidP="00B9146B">
            <w:pPr>
              <w:rPr>
                <w:rFonts w:ascii="Arial" w:hAnsi="Arial" w:cs="Arial"/>
                <w:b/>
                <w:bCs/>
                <w:color w:val="000000"/>
                <w:sz w:val="20"/>
                <w:szCs w:val="20"/>
              </w:rPr>
            </w:pPr>
            <w:r w:rsidRPr="00B9146B">
              <w:rPr>
                <w:rFonts w:ascii="Arial" w:hAnsi="Arial" w:cs="Arial"/>
                <w:b/>
                <w:bCs/>
                <w:color w:val="000000"/>
                <w:sz w:val="20"/>
                <w:szCs w:val="20"/>
              </w:rPr>
              <w:t>Total général</w:t>
            </w:r>
          </w:p>
        </w:tc>
        <w:tc>
          <w:tcPr>
            <w:tcW w:w="2611" w:type="dxa"/>
            <w:shd w:val="clear" w:color="000000" w:fill="D9E7FD"/>
            <w:noWrap/>
            <w:vAlign w:val="center"/>
            <w:hideMark/>
          </w:tcPr>
          <w:p w14:paraId="4A8FEF10" w14:textId="77777777" w:rsidR="00B9146B" w:rsidRPr="00B9146B" w:rsidRDefault="00B9146B" w:rsidP="00B9146B">
            <w:pPr>
              <w:jc w:val="right"/>
              <w:rPr>
                <w:rFonts w:ascii="Arial" w:hAnsi="Arial" w:cs="Arial"/>
                <w:b/>
                <w:bCs/>
                <w:color w:val="000000"/>
                <w:sz w:val="20"/>
                <w:szCs w:val="20"/>
              </w:rPr>
            </w:pPr>
            <w:r w:rsidRPr="00B9146B">
              <w:rPr>
                <w:rFonts w:ascii="Arial" w:hAnsi="Arial" w:cs="Arial"/>
                <w:b/>
                <w:bCs/>
                <w:color w:val="000000"/>
                <w:sz w:val="20"/>
                <w:szCs w:val="20"/>
              </w:rPr>
              <w:t>12</w:t>
            </w:r>
          </w:p>
        </w:tc>
        <w:tc>
          <w:tcPr>
            <w:tcW w:w="2835" w:type="dxa"/>
            <w:shd w:val="clear" w:color="000000" w:fill="D9E7FD"/>
            <w:noWrap/>
            <w:vAlign w:val="center"/>
            <w:hideMark/>
          </w:tcPr>
          <w:p w14:paraId="0ED320BE" w14:textId="77777777" w:rsidR="00B9146B" w:rsidRPr="00B9146B" w:rsidRDefault="00B9146B" w:rsidP="00B9146B">
            <w:pPr>
              <w:jc w:val="right"/>
              <w:rPr>
                <w:rFonts w:ascii="Arial" w:hAnsi="Arial" w:cs="Arial"/>
                <w:b/>
                <w:bCs/>
                <w:color w:val="000000"/>
                <w:sz w:val="20"/>
                <w:szCs w:val="20"/>
              </w:rPr>
            </w:pPr>
            <w:r w:rsidRPr="00B9146B">
              <w:rPr>
                <w:rFonts w:ascii="Arial" w:hAnsi="Arial" w:cs="Arial"/>
                <w:b/>
                <w:bCs/>
                <w:color w:val="000000"/>
                <w:sz w:val="20"/>
                <w:szCs w:val="20"/>
              </w:rPr>
              <w:t>4</w:t>
            </w:r>
          </w:p>
        </w:tc>
      </w:tr>
    </w:tbl>
    <w:p w14:paraId="70C36C48" w14:textId="5E50AADB" w:rsidR="000E18CE" w:rsidRPr="000E18CE" w:rsidRDefault="000D4946" w:rsidP="000E18CE">
      <w:pPr>
        <w:tabs>
          <w:tab w:val="left" w:pos="4402"/>
        </w:tabs>
        <w:spacing w:line="276" w:lineRule="auto"/>
        <w:rPr>
          <w:rFonts w:ascii="Bookman Old Style" w:hAnsi="Bookman Old Style" w:cs="Arial"/>
          <w:sz w:val="18"/>
          <w:szCs w:val="18"/>
        </w:rPr>
      </w:pPr>
      <w:r>
        <w:rPr>
          <w:rFonts w:ascii="Bookman Old Style" w:hAnsi="Bookman Old Style" w:cs="Arial"/>
          <w:sz w:val="18"/>
          <w:szCs w:val="18"/>
        </w:rPr>
        <w:t xml:space="preserve">              </w:t>
      </w:r>
      <w:r w:rsidR="000E18CE" w:rsidRPr="000E18CE">
        <w:rPr>
          <w:rFonts w:ascii="Bookman Old Style" w:hAnsi="Bookman Old Style" w:cs="Arial"/>
          <w:sz w:val="18"/>
          <w:szCs w:val="18"/>
        </w:rPr>
        <w:t>Source : Enquête terrain, septembre 2021</w:t>
      </w:r>
    </w:p>
    <w:p w14:paraId="63096445" w14:textId="4056E785" w:rsidR="00B9146B" w:rsidRDefault="00F555C3" w:rsidP="007B5322">
      <w:pPr>
        <w:tabs>
          <w:tab w:val="left" w:pos="4402"/>
        </w:tabs>
        <w:spacing w:before="240" w:line="276" w:lineRule="auto"/>
        <w:jc w:val="both"/>
        <w:rPr>
          <w:rFonts w:ascii="Bookman Old Style" w:hAnsi="Bookman Old Style" w:cs="Arial"/>
        </w:rPr>
      </w:pPr>
      <w:r>
        <w:rPr>
          <w:rFonts w:ascii="Bookman Old Style" w:hAnsi="Bookman Old Style" w:cs="Arial"/>
        </w:rPr>
        <w:lastRenderedPageBreak/>
        <w:t xml:space="preserve">La situation est </w:t>
      </w:r>
      <w:proofErr w:type="gramStart"/>
      <w:r w:rsidR="00AF0052">
        <w:rPr>
          <w:rFonts w:ascii="Bookman Old Style" w:hAnsi="Bookman Old Style" w:cs="Arial"/>
        </w:rPr>
        <w:t>pareille</w:t>
      </w:r>
      <w:proofErr w:type="gramEnd"/>
      <w:r>
        <w:rPr>
          <w:rFonts w:ascii="Bookman Old Style" w:hAnsi="Bookman Old Style" w:cs="Arial"/>
        </w:rPr>
        <w:t xml:space="preserve"> en ce qui concerne le nombre moyen d’actif agricole par région et par ménage. La région de Maradi avec 5 actifs agricoles par ménages contre 3 à Tahoua et Zinder.</w:t>
      </w:r>
    </w:p>
    <w:p w14:paraId="60FCBBC5" w14:textId="77777777" w:rsidR="00BB3155" w:rsidRDefault="00BB3155" w:rsidP="00B4164B">
      <w:pPr>
        <w:tabs>
          <w:tab w:val="left" w:pos="4402"/>
        </w:tabs>
        <w:spacing w:line="276" w:lineRule="auto"/>
        <w:jc w:val="both"/>
        <w:rPr>
          <w:rFonts w:ascii="Bookman Old Style" w:hAnsi="Bookman Old Style" w:cs="Arial"/>
        </w:rPr>
      </w:pPr>
    </w:p>
    <w:p w14:paraId="318EF2DF" w14:textId="54DCE71C" w:rsidR="004B0DDD" w:rsidRDefault="004B0DDD" w:rsidP="006628EC">
      <w:pPr>
        <w:tabs>
          <w:tab w:val="left" w:pos="4402"/>
        </w:tabs>
        <w:spacing w:line="276" w:lineRule="auto"/>
        <w:jc w:val="center"/>
        <w:rPr>
          <w:rFonts w:ascii="Bookman Old Style" w:hAnsi="Bookman Old Style" w:cs="Arial"/>
        </w:rPr>
      </w:pPr>
      <w:r>
        <w:rPr>
          <w:noProof/>
        </w:rPr>
        <w:drawing>
          <wp:inline distT="0" distB="0" distL="0" distR="0" wp14:anchorId="536B31B1" wp14:editId="3D22C2A5">
            <wp:extent cx="4556760" cy="2922270"/>
            <wp:effectExtent l="0" t="0" r="15240" b="11430"/>
            <wp:docPr id="4" name="Graphique 4">
              <a:extLst xmlns:a="http://schemas.openxmlformats.org/drawingml/2006/main">
                <a:ext uri="{FF2B5EF4-FFF2-40B4-BE49-F238E27FC236}">
                  <a16:creationId xmlns:a16="http://schemas.microsoft.com/office/drawing/2014/main" id="{4A4FB82A-8D7D-4923-B4E2-717A78704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2B6220" w14:textId="69BBD094" w:rsidR="000E18CE" w:rsidRPr="000E18CE" w:rsidRDefault="000D4946" w:rsidP="00FC0713">
      <w:pPr>
        <w:pStyle w:val="Lgende"/>
        <w:rPr>
          <w:rFonts w:ascii="Bookman Old Style" w:hAnsi="Bookman Old Style" w:cs="Arial"/>
        </w:rPr>
      </w:pPr>
      <w:r>
        <w:rPr>
          <w:rFonts w:ascii="Bookman Old Style" w:hAnsi="Bookman Old Style" w:cs="Arial"/>
        </w:rPr>
        <w:t xml:space="preserve">                </w:t>
      </w:r>
      <w:r w:rsidR="003D37B5">
        <w:rPr>
          <w:rFonts w:ascii="Bookman Old Style" w:hAnsi="Bookman Old Style" w:cs="Arial"/>
        </w:rPr>
        <w:t xml:space="preserve"> </w:t>
      </w:r>
      <w:bookmarkStart w:id="33" w:name="_Toc97823221"/>
      <w:r w:rsidR="00FC0713">
        <w:t xml:space="preserve">Figure </w:t>
      </w:r>
      <w:fldSimple w:instr=" SEQ Figure \* ARABIC ">
        <w:r w:rsidR="004F4E33">
          <w:rPr>
            <w:noProof/>
          </w:rPr>
          <w:t>8</w:t>
        </w:r>
      </w:fldSimple>
      <w:r w:rsidR="00FC0713">
        <w:t> : Moyenne taille des ménages et d’actifs agricoles</w:t>
      </w:r>
      <w:bookmarkEnd w:id="33"/>
    </w:p>
    <w:p w14:paraId="1F5D9486" w14:textId="24B91A89" w:rsidR="00A04A43" w:rsidRPr="004058C5" w:rsidRDefault="00E765DF" w:rsidP="00CC71A8">
      <w:pPr>
        <w:pStyle w:val="Paragraphedeliste"/>
        <w:numPr>
          <w:ilvl w:val="1"/>
          <w:numId w:val="3"/>
        </w:numPr>
        <w:tabs>
          <w:tab w:val="left" w:pos="4402"/>
        </w:tabs>
        <w:spacing w:line="276" w:lineRule="auto"/>
        <w:jc w:val="both"/>
        <w:outlineLvl w:val="1"/>
        <w:rPr>
          <w:rFonts w:ascii="Bookman Old Style" w:hAnsi="Bookman Old Style" w:cs="Arial"/>
          <w:b/>
          <w:bCs/>
        </w:rPr>
      </w:pPr>
      <w:bookmarkStart w:id="34" w:name="_Toc97822358"/>
      <w:r>
        <w:rPr>
          <w:rFonts w:ascii="Bookman Old Style" w:hAnsi="Bookman Old Style" w:cs="Arial"/>
          <w:b/>
          <w:bCs/>
        </w:rPr>
        <w:t>G</w:t>
      </w:r>
      <w:r w:rsidR="00A04A43" w:rsidRPr="004058C5">
        <w:rPr>
          <w:rFonts w:ascii="Bookman Old Style" w:hAnsi="Bookman Old Style" w:cs="Arial"/>
          <w:b/>
          <w:bCs/>
        </w:rPr>
        <w:t>estion de stocks mis à la disposition</w:t>
      </w:r>
      <w:bookmarkEnd w:id="34"/>
      <w:r w:rsidR="00A04A43" w:rsidRPr="004058C5">
        <w:rPr>
          <w:rFonts w:ascii="Bookman Old Style" w:hAnsi="Bookman Old Style" w:cs="Arial"/>
          <w:b/>
          <w:bCs/>
        </w:rPr>
        <w:t xml:space="preserve"> </w:t>
      </w:r>
    </w:p>
    <w:p w14:paraId="547FB91F" w14:textId="7CB13ABA" w:rsidR="00520566" w:rsidRPr="001310BC" w:rsidRDefault="00520566" w:rsidP="007739CB">
      <w:pPr>
        <w:pStyle w:val="Titre3"/>
        <w:numPr>
          <w:ilvl w:val="2"/>
          <w:numId w:val="3"/>
        </w:numPr>
        <w:rPr>
          <w:rFonts w:ascii="Bookman Old Style" w:hAnsi="Bookman Old Style" w:cs="Arial"/>
          <w:i/>
          <w:iCs/>
        </w:rPr>
      </w:pPr>
      <w:bookmarkStart w:id="35" w:name="_Toc97822359"/>
      <w:r w:rsidRPr="001310BC">
        <w:rPr>
          <w:rFonts w:ascii="Bookman Old Style" w:hAnsi="Bookman Old Style" w:cs="Arial"/>
          <w:i/>
          <w:iCs/>
        </w:rPr>
        <w:t>Stock initial</w:t>
      </w:r>
      <w:r w:rsidR="00587CA2" w:rsidRPr="001310BC">
        <w:rPr>
          <w:rFonts w:ascii="Bookman Old Style" w:hAnsi="Bookman Old Style" w:cs="Arial"/>
          <w:i/>
          <w:iCs/>
        </w:rPr>
        <w:t xml:space="preserve"> mis en place</w:t>
      </w:r>
      <w:bookmarkEnd w:id="35"/>
    </w:p>
    <w:p w14:paraId="1D9617E7" w14:textId="7F9EE775" w:rsidR="00704977" w:rsidRDefault="007B2F01" w:rsidP="00704977">
      <w:pPr>
        <w:tabs>
          <w:tab w:val="left" w:pos="4402"/>
        </w:tabs>
        <w:spacing w:before="240" w:line="276" w:lineRule="auto"/>
        <w:jc w:val="both"/>
        <w:rPr>
          <w:rFonts w:ascii="Bookman Old Style" w:hAnsi="Bookman Old Style" w:cs="Arial"/>
        </w:rPr>
      </w:pPr>
      <w:r>
        <w:rPr>
          <w:rFonts w:ascii="Bookman Old Style" w:hAnsi="Bookman Old Style" w:cs="Arial"/>
        </w:rPr>
        <w:t xml:space="preserve">Un total de 2400 sacs de 100kg a été placé au niveau de 24 villages objet de cette enquête, à raison de 100 sacs par GFS soit 10 tonnes. Les stocks sont composés uniquement de mil. Un sac contient en moyenne 35 </w:t>
      </w:r>
      <w:proofErr w:type="spellStart"/>
      <w:r>
        <w:rPr>
          <w:rFonts w:ascii="Bookman Old Style" w:hAnsi="Bookman Old Style" w:cs="Arial"/>
        </w:rPr>
        <w:t>tias</w:t>
      </w:r>
      <w:proofErr w:type="spellEnd"/>
      <w:r>
        <w:rPr>
          <w:rFonts w:ascii="Bookman Old Style" w:hAnsi="Bookman Old Style" w:cs="Arial"/>
        </w:rPr>
        <w:t xml:space="preserve"> (équivalent de 2.5kg). </w:t>
      </w:r>
      <w:r w:rsidR="00FB2432">
        <w:rPr>
          <w:rFonts w:ascii="Bookman Old Style" w:hAnsi="Bookman Old Style" w:cs="Arial"/>
        </w:rPr>
        <w:t>O</w:t>
      </w:r>
      <w:r>
        <w:rPr>
          <w:rFonts w:ascii="Bookman Old Style" w:hAnsi="Bookman Old Style" w:cs="Arial"/>
        </w:rPr>
        <w:t>n constate qu</w:t>
      </w:r>
      <w:r w:rsidR="00FB2432">
        <w:rPr>
          <w:rFonts w:ascii="Bookman Old Style" w:hAnsi="Bookman Old Style" w:cs="Arial"/>
        </w:rPr>
        <w:t xml:space="preserve">’à Tahoua la moyenne de sac est de 39 </w:t>
      </w:r>
      <w:proofErr w:type="spellStart"/>
      <w:r w:rsidR="00FB2432">
        <w:rPr>
          <w:rFonts w:ascii="Bookman Old Style" w:hAnsi="Bookman Old Style" w:cs="Arial"/>
        </w:rPr>
        <w:t>tias</w:t>
      </w:r>
      <w:proofErr w:type="spellEnd"/>
      <w:r w:rsidR="00704977">
        <w:rPr>
          <w:rFonts w:ascii="Bookman Old Style" w:hAnsi="Bookman Old Style" w:cs="Arial"/>
        </w:rPr>
        <w:t>.</w:t>
      </w:r>
      <w:r w:rsidR="00704977" w:rsidRPr="00704977">
        <w:rPr>
          <w:rFonts w:ascii="Bookman Old Style" w:hAnsi="Bookman Old Style" w:cs="Arial"/>
        </w:rPr>
        <w:t xml:space="preserve"> </w:t>
      </w:r>
      <w:r w:rsidR="00704977">
        <w:rPr>
          <w:rFonts w:ascii="Bookman Old Style" w:hAnsi="Bookman Old Style" w:cs="Arial"/>
        </w:rPr>
        <w:t xml:space="preserve">La situation par PDE nous montre qu’à Doungou les sacs contiennent en moyenne 34 </w:t>
      </w:r>
      <w:proofErr w:type="spellStart"/>
      <w:r w:rsidR="00704977">
        <w:rPr>
          <w:rFonts w:ascii="Bookman Old Style" w:hAnsi="Bookman Old Style" w:cs="Arial"/>
        </w:rPr>
        <w:t>tias</w:t>
      </w:r>
      <w:proofErr w:type="spellEnd"/>
      <w:r w:rsidR="00704977">
        <w:rPr>
          <w:rFonts w:ascii="Bookman Old Style" w:hAnsi="Bookman Old Style" w:cs="Arial"/>
        </w:rPr>
        <w:t>.</w:t>
      </w:r>
    </w:p>
    <w:p w14:paraId="305E27C3" w14:textId="79EFBA92" w:rsidR="008247F5" w:rsidRDefault="00704977" w:rsidP="00704977">
      <w:pPr>
        <w:tabs>
          <w:tab w:val="left" w:pos="4402"/>
        </w:tabs>
        <w:spacing w:before="240" w:line="276" w:lineRule="auto"/>
        <w:jc w:val="both"/>
        <w:rPr>
          <w:rFonts w:ascii="Bookman Old Style" w:hAnsi="Bookman Old Style" w:cs="Arial"/>
        </w:rPr>
      </w:pPr>
      <w:r>
        <w:rPr>
          <w:rFonts w:ascii="Bookman Old Style" w:hAnsi="Bookman Old Style" w:cs="Arial"/>
        </w:rPr>
        <w:t xml:space="preserve">Par ailleurs, on note la présence des quelques éléments d’impureté dans les stocks. Ce sont entre autres des résidus de tige de mil, des cailloux, du sable, </w:t>
      </w:r>
      <w:r w:rsidR="00C97C7F" w:rsidRPr="00C97C7F">
        <w:rPr>
          <w:rFonts w:ascii="Bookman Old Style" w:hAnsi="Bookman Old Style" w:cs="Arial"/>
        </w:rPr>
        <w:t>etc</w:t>
      </w:r>
      <w:r w:rsidRPr="00C97C7F">
        <w:rPr>
          <w:rFonts w:ascii="Bookman Old Style" w:hAnsi="Bookman Old Style" w:cs="Arial"/>
        </w:rPr>
        <w:t>. Le taux</w:t>
      </w:r>
      <w:r>
        <w:rPr>
          <w:rFonts w:ascii="Bookman Old Style" w:hAnsi="Bookman Old Style" w:cs="Arial"/>
        </w:rPr>
        <w:t xml:space="preserve"> moyen d’impureté est de 1% contre 1.7%</w:t>
      </w:r>
      <w:r w:rsidR="00136112">
        <w:rPr>
          <w:rFonts w:ascii="Bookman Old Style" w:hAnsi="Bookman Old Style" w:cs="Arial"/>
        </w:rPr>
        <w:t xml:space="preserve"> à Tahoua</w:t>
      </w:r>
      <w:r>
        <w:rPr>
          <w:rFonts w:ascii="Bookman Old Style" w:hAnsi="Bookman Old Style" w:cs="Arial"/>
        </w:rPr>
        <w:t xml:space="preserve"> </w:t>
      </w:r>
      <w:r w:rsidR="00136112">
        <w:rPr>
          <w:rFonts w:ascii="Bookman Old Style" w:hAnsi="Bookman Old Style" w:cs="Arial"/>
        </w:rPr>
        <w:t>(le taux moyen d’impureté le plus élevé par région). Par PDE on constate que c’est à Doungou que le</w:t>
      </w:r>
      <w:r>
        <w:rPr>
          <w:rFonts w:ascii="Bookman Old Style" w:hAnsi="Bookman Old Style" w:cs="Arial"/>
        </w:rPr>
        <w:t xml:space="preserve"> taux moyen d’impureté </w:t>
      </w:r>
      <w:r w:rsidR="00136112">
        <w:rPr>
          <w:rFonts w:ascii="Bookman Old Style" w:hAnsi="Bookman Old Style" w:cs="Arial"/>
        </w:rPr>
        <w:t>est le plus élevé avec</w:t>
      </w:r>
      <w:r>
        <w:rPr>
          <w:rFonts w:ascii="Bookman Old Style" w:hAnsi="Bookman Old Style" w:cs="Arial"/>
        </w:rPr>
        <w:t xml:space="preserve"> 2.5%.</w:t>
      </w:r>
    </w:p>
    <w:p w14:paraId="38B6DC37" w14:textId="77777777" w:rsidR="00B07FF0" w:rsidRDefault="00B07FF0" w:rsidP="007B5322">
      <w:pPr>
        <w:tabs>
          <w:tab w:val="left" w:pos="4402"/>
        </w:tabs>
        <w:spacing w:line="276" w:lineRule="auto"/>
        <w:jc w:val="both"/>
        <w:rPr>
          <w:rFonts w:ascii="Bookman Old Style" w:hAnsi="Bookman Old Style" w:cs="Arial"/>
        </w:rPr>
      </w:pPr>
    </w:p>
    <w:p w14:paraId="34CDD057" w14:textId="20574EEB" w:rsidR="00520566" w:rsidRDefault="00325BAA" w:rsidP="00B4164B">
      <w:pPr>
        <w:pStyle w:val="Lgende"/>
        <w:spacing w:after="0"/>
        <w:rPr>
          <w:rFonts w:ascii="Bookman Old Style" w:hAnsi="Bookman Old Style" w:cs="Arial"/>
        </w:rPr>
      </w:pPr>
      <w:r>
        <w:t xml:space="preserve">          </w:t>
      </w:r>
      <w:bookmarkStart w:id="36" w:name="_Toc97822383"/>
      <w:r w:rsidR="00610328">
        <w:t xml:space="preserve">Tableau </w:t>
      </w:r>
      <w:fldSimple w:instr=" SEQ Tableau \* ARABIC ">
        <w:r w:rsidR="00275B4D">
          <w:rPr>
            <w:noProof/>
          </w:rPr>
          <w:t>4</w:t>
        </w:r>
      </w:fldSimple>
      <w:r w:rsidR="00610328">
        <w:t xml:space="preserve"> : </w:t>
      </w:r>
      <w:r w:rsidR="00B07FF0">
        <w:t>Situation de stock initial mis à disposition</w:t>
      </w:r>
      <w:bookmarkEnd w:id="36"/>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0"/>
        <w:gridCol w:w="2453"/>
        <w:gridCol w:w="1701"/>
        <w:gridCol w:w="1701"/>
      </w:tblGrid>
      <w:tr w:rsidR="00026189" w:rsidRPr="00026189" w14:paraId="683A4235" w14:textId="77777777" w:rsidTr="00B65436">
        <w:trPr>
          <w:trHeight w:val="264"/>
          <w:tblHeader/>
          <w:jc w:val="center"/>
        </w:trPr>
        <w:tc>
          <w:tcPr>
            <w:tcW w:w="2220" w:type="dxa"/>
            <w:shd w:val="clear" w:color="D9E7FD" w:fill="D9E7FD"/>
            <w:noWrap/>
            <w:vAlign w:val="bottom"/>
            <w:hideMark/>
          </w:tcPr>
          <w:p w14:paraId="0C1437C5" w14:textId="77777777" w:rsidR="00026189" w:rsidRPr="00026189" w:rsidRDefault="00026189" w:rsidP="00026189">
            <w:pPr>
              <w:rPr>
                <w:rFonts w:ascii="Arial" w:hAnsi="Arial" w:cs="Arial"/>
                <w:b/>
                <w:bCs/>
                <w:color w:val="000000"/>
                <w:sz w:val="20"/>
                <w:szCs w:val="20"/>
              </w:rPr>
            </w:pPr>
            <w:r w:rsidRPr="00026189">
              <w:rPr>
                <w:rFonts w:ascii="Arial" w:hAnsi="Arial" w:cs="Arial"/>
                <w:b/>
                <w:bCs/>
                <w:color w:val="000000"/>
                <w:sz w:val="20"/>
                <w:szCs w:val="20"/>
              </w:rPr>
              <w:t>Étiquettes de lignes</w:t>
            </w:r>
          </w:p>
        </w:tc>
        <w:tc>
          <w:tcPr>
            <w:tcW w:w="2453" w:type="dxa"/>
            <w:shd w:val="clear" w:color="D9E7FD" w:fill="D9E7FD"/>
            <w:noWrap/>
            <w:vAlign w:val="bottom"/>
            <w:hideMark/>
          </w:tcPr>
          <w:p w14:paraId="7EAC3204" w14:textId="77777777" w:rsidR="00026189" w:rsidRPr="00026189" w:rsidRDefault="00026189" w:rsidP="00026189">
            <w:pPr>
              <w:rPr>
                <w:rFonts w:ascii="Arial" w:hAnsi="Arial" w:cs="Arial"/>
                <w:b/>
                <w:bCs/>
                <w:color w:val="000000"/>
                <w:sz w:val="20"/>
                <w:szCs w:val="20"/>
              </w:rPr>
            </w:pPr>
            <w:r w:rsidRPr="00026189">
              <w:rPr>
                <w:rFonts w:ascii="Arial" w:hAnsi="Arial" w:cs="Arial"/>
                <w:b/>
                <w:bCs/>
                <w:color w:val="000000"/>
                <w:sz w:val="20"/>
                <w:szCs w:val="20"/>
              </w:rPr>
              <w:t>Somme de Nbre_Sac100kg_initial</w:t>
            </w:r>
          </w:p>
        </w:tc>
        <w:tc>
          <w:tcPr>
            <w:tcW w:w="1701" w:type="dxa"/>
            <w:shd w:val="clear" w:color="D9E7FD" w:fill="D9E7FD"/>
            <w:noWrap/>
            <w:vAlign w:val="bottom"/>
            <w:hideMark/>
          </w:tcPr>
          <w:p w14:paraId="2F07BF29" w14:textId="77777777" w:rsidR="00026189" w:rsidRPr="00026189" w:rsidRDefault="00026189" w:rsidP="00026189">
            <w:pPr>
              <w:rPr>
                <w:rFonts w:ascii="Arial" w:hAnsi="Arial" w:cs="Arial"/>
                <w:b/>
                <w:bCs/>
                <w:color w:val="000000"/>
                <w:sz w:val="20"/>
                <w:szCs w:val="20"/>
              </w:rPr>
            </w:pPr>
            <w:r w:rsidRPr="00026189">
              <w:rPr>
                <w:rFonts w:ascii="Arial" w:hAnsi="Arial" w:cs="Arial"/>
                <w:b/>
                <w:bCs/>
                <w:color w:val="000000"/>
                <w:sz w:val="20"/>
                <w:szCs w:val="20"/>
              </w:rPr>
              <w:t xml:space="preserve">Moyenne de </w:t>
            </w:r>
            <w:proofErr w:type="spellStart"/>
            <w:r w:rsidRPr="00026189">
              <w:rPr>
                <w:rFonts w:ascii="Arial" w:hAnsi="Arial" w:cs="Arial"/>
                <w:b/>
                <w:bCs/>
                <w:color w:val="000000"/>
                <w:sz w:val="20"/>
                <w:szCs w:val="20"/>
              </w:rPr>
              <w:t>Nbre_tia_Sac</w:t>
            </w:r>
            <w:proofErr w:type="spellEnd"/>
          </w:p>
        </w:tc>
        <w:tc>
          <w:tcPr>
            <w:tcW w:w="1701" w:type="dxa"/>
            <w:shd w:val="clear" w:color="D9E7FD" w:fill="D9E7FD"/>
            <w:noWrap/>
            <w:vAlign w:val="bottom"/>
            <w:hideMark/>
          </w:tcPr>
          <w:p w14:paraId="573D5D89" w14:textId="307724C5" w:rsidR="00026189" w:rsidRPr="00026189" w:rsidRDefault="00B65436" w:rsidP="00026189">
            <w:pPr>
              <w:rPr>
                <w:rFonts w:ascii="Arial" w:hAnsi="Arial" w:cs="Arial"/>
                <w:b/>
                <w:bCs/>
                <w:color w:val="000000"/>
                <w:sz w:val="20"/>
                <w:szCs w:val="20"/>
              </w:rPr>
            </w:pPr>
            <w:r w:rsidRPr="00026189">
              <w:rPr>
                <w:rFonts w:ascii="Arial" w:hAnsi="Arial" w:cs="Arial"/>
                <w:b/>
                <w:bCs/>
                <w:color w:val="000000"/>
                <w:sz w:val="20"/>
                <w:szCs w:val="20"/>
              </w:rPr>
              <w:t xml:space="preserve">Taux </w:t>
            </w:r>
            <w:proofErr w:type="spellStart"/>
            <w:r>
              <w:rPr>
                <w:rFonts w:ascii="Arial" w:hAnsi="Arial" w:cs="Arial"/>
                <w:b/>
                <w:bCs/>
                <w:color w:val="000000"/>
                <w:sz w:val="20"/>
                <w:szCs w:val="20"/>
              </w:rPr>
              <w:t>moy</w:t>
            </w:r>
            <w:proofErr w:type="spellEnd"/>
            <w:r>
              <w:rPr>
                <w:rFonts w:ascii="Arial" w:hAnsi="Arial" w:cs="Arial"/>
                <w:b/>
                <w:bCs/>
                <w:color w:val="000000"/>
                <w:sz w:val="20"/>
                <w:szCs w:val="20"/>
              </w:rPr>
              <w:t xml:space="preserve">. </w:t>
            </w:r>
            <w:proofErr w:type="gramStart"/>
            <w:r>
              <w:rPr>
                <w:rFonts w:ascii="Arial" w:hAnsi="Arial" w:cs="Arial"/>
                <w:b/>
                <w:bCs/>
                <w:color w:val="000000"/>
                <w:sz w:val="20"/>
                <w:szCs w:val="20"/>
              </w:rPr>
              <w:t>d’</w:t>
            </w:r>
            <w:r w:rsidRPr="00026189">
              <w:rPr>
                <w:rFonts w:ascii="Arial" w:hAnsi="Arial" w:cs="Arial"/>
                <w:b/>
                <w:bCs/>
                <w:color w:val="000000"/>
                <w:sz w:val="20"/>
                <w:szCs w:val="20"/>
              </w:rPr>
              <w:t>impureté</w:t>
            </w:r>
            <w:proofErr w:type="gramEnd"/>
            <w:r>
              <w:rPr>
                <w:rFonts w:ascii="Arial" w:hAnsi="Arial" w:cs="Arial"/>
                <w:b/>
                <w:bCs/>
                <w:color w:val="000000"/>
                <w:sz w:val="20"/>
                <w:szCs w:val="20"/>
              </w:rPr>
              <w:t>/sac</w:t>
            </w:r>
          </w:p>
        </w:tc>
      </w:tr>
      <w:tr w:rsidR="00026189" w:rsidRPr="00026189" w14:paraId="2A8E1109" w14:textId="77777777" w:rsidTr="00B65436">
        <w:trPr>
          <w:trHeight w:val="264"/>
          <w:jc w:val="center"/>
        </w:trPr>
        <w:tc>
          <w:tcPr>
            <w:tcW w:w="2220" w:type="dxa"/>
            <w:shd w:val="clear" w:color="auto" w:fill="auto"/>
            <w:noWrap/>
            <w:vAlign w:val="bottom"/>
            <w:hideMark/>
          </w:tcPr>
          <w:p w14:paraId="1E0AEB9C" w14:textId="77777777" w:rsidR="00026189" w:rsidRPr="00026189" w:rsidRDefault="00026189" w:rsidP="00026189">
            <w:pPr>
              <w:rPr>
                <w:rFonts w:ascii="Arial" w:hAnsi="Arial" w:cs="Arial"/>
                <w:b/>
                <w:bCs/>
                <w:color w:val="000000"/>
                <w:sz w:val="20"/>
                <w:szCs w:val="20"/>
              </w:rPr>
            </w:pPr>
            <w:r w:rsidRPr="00026189">
              <w:rPr>
                <w:rFonts w:ascii="Arial" w:hAnsi="Arial" w:cs="Arial"/>
                <w:b/>
                <w:bCs/>
                <w:color w:val="000000"/>
                <w:sz w:val="20"/>
                <w:szCs w:val="20"/>
              </w:rPr>
              <w:t>Maradi</w:t>
            </w:r>
          </w:p>
        </w:tc>
        <w:tc>
          <w:tcPr>
            <w:tcW w:w="2453" w:type="dxa"/>
            <w:shd w:val="clear" w:color="auto" w:fill="auto"/>
            <w:noWrap/>
            <w:vAlign w:val="bottom"/>
            <w:hideMark/>
          </w:tcPr>
          <w:p w14:paraId="23FD78EB" w14:textId="77777777"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800</w:t>
            </w:r>
          </w:p>
        </w:tc>
        <w:tc>
          <w:tcPr>
            <w:tcW w:w="1701" w:type="dxa"/>
            <w:shd w:val="clear" w:color="auto" w:fill="auto"/>
            <w:noWrap/>
            <w:vAlign w:val="bottom"/>
            <w:hideMark/>
          </w:tcPr>
          <w:p w14:paraId="4E14A085" w14:textId="77777777"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35</w:t>
            </w:r>
          </w:p>
        </w:tc>
        <w:tc>
          <w:tcPr>
            <w:tcW w:w="1701" w:type="dxa"/>
            <w:shd w:val="clear" w:color="auto" w:fill="auto"/>
            <w:noWrap/>
            <w:vAlign w:val="bottom"/>
            <w:hideMark/>
          </w:tcPr>
          <w:p w14:paraId="085EDD4B" w14:textId="3FEFBA5B"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0,4</w:t>
            </w:r>
            <w:r w:rsidR="00181D1E">
              <w:rPr>
                <w:rFonts w:ascii="Arial" w:hAnsi="Arial" w:cs="Arial"/>
                <w:b/>
                <w:bCs/>
                <w:color w:val="000000"/>
                <w:sz w:val="20"/>
                <w:szCs w:val="20"/>
              </w:rPr>
              <w:t>%</w:t>
            </w:r>
          </w:p>
        </w:tc>
      </w:tr>
      <w:tr w:rsidR="00026189" w:rsidRPr="00026189" w14:paraId="2C7AAC15" w14:textId="77777777" w:rsidTr="00B65436">
        <w:trPr>
          <w:trHeight w:val="264"/>
          <w:jc w:val="center"/>
        </w:trPr>
        <w:tc>
          <w:tcPr>
            <w:tcW w:w="2220" w:type="dxa"/>
            <w:shd w:val="clear" w:color="auto" w:fill="auto"/>
            <w:noWrap/>
            <w:vAlign w:val="bottom"/>
            <w:hideMark/>
          </w:tcPr>
          <w:p w14:paraId="01B46223" w14:textId="77777777" w:rsidR="00026189" w:rsidRPr="00026189" w:rsidRDefault="00026189" w:rsidP="00026189">
            <w:pPr>
              <w:ind w:firstLineChars="100" w:firstLine="200"/>
              <w:rPr>
                <w:rFonts w:ascii="Arial" w:hAnsi="Arial" w:cs="Arial"/>
                <w:color w:val="000000"/>
                <w:sz w:val="20"/>
                <w:szCs w:val="20"/>
              </w:rPr>
            </w:pPr>
            <w:proofErr w:type="spellStart"/>
            <w:r w:rsidRPr="00026189">
              <w:rPr>
                <w:rFonts w:ascii="Arial" w:hAnsi="Arial" w:cs="Arial"/>
                <w:color w:val="000000"/>
                <w:sz w:val="20"/>
                <w:szCs w:val="20"/>
              </w:rPr>
              <w:t>Guidan_Roumdji</w:t>
            </w:r>
            <w:proofErr w:type="spellEnd"/>
          </w:p>
        </w:tc>
        <w:tc>
          <w:tcPr>
            <w:tcW w:w="2453" w:type="dxa"/>
            <w:shd w:val="clear" w:color="auto" w:fill="auto"/>
            <w:noWrap/>
            <w:vAlign w:val="bottom"/>
            <w:hideMark/>
          </w:tcPr>
          <w:p w14:paraId="002596FC"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300</w:t>
            </w:r>
          </w:p>
        </w:tc>
        <w:tc>
          <w:tcPr>
            <w:tcW w:w="1701" w:type="dxa"/>
            <w:shd w:val="clear" w:color="auto" w:fill="auto"/>
            <w:noWrap/>
            <w:vAlign w:val="bottom"/>
            <w:hideMark/>
          </w:tcPr>
          <w:p w14:paraId="3D1DF2DA"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35</w:t>
            </w:r>
          </w:p>
        </w:tc>
        <w:tc>
          <w:tcPr>
            <w:tcW w:w="1701" w:type="dxa"/>
            <w:shd w:val="clear" w:color="auto" w:fill="auto"/>
            <w:noWrap/>
            <w:vAlign w:val="bottom"/>
            <w:hideMark/>
          </w:tcPr>
          <w:p w14:paraId="40FA739A" w14:textId="7EBA77D6"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1,0</w:t>
            </w:r>
            <w:r w:rsidR="00181D1E">
              <w:rPr>
                <w:rFonts w:ascii="Arial" w:hAnsi="Arial" w:cs="Arial"/>
                <w:color w:val="000000"/>
                <w:sz w:val="20"/>
                <w:szCs w:val="20"/>
              </w:rPr>
              <w:t>%</w:t>
            </w:r>
          </w:p>
        </w:tc>
      </w:tr>
      <w:tr w:rsidR="00026189" w:rsidRPr="00026189" w14:paraId="5AD91A56" w14:textId="77777777" w:rsidTr="00B65436">
        <w:trPr>
          <w:trHeight w:val="264"/>
          <w:jc w:val="center"/>
        </w:trPr>
        <w:tc>
          <w:tcPr>
            <w:tcW w:w="2220" w:type="dxa"/>
            <w:shd w:val="clear" w:color="auto" w:fill="auto"/>
            <w:noWrap/>
            <w:vAlign w:val="bottom"/>
            <w:hideMark/>
          </w:tcPr>
          <w:p w14:paraId="01BE198E" w14:textId="77777777" w:rsidR="00026189" w:rsidRPr="00026189" w:rsidRDefault="00026189" w:rsidP="00026189">
            <w:pPr>
              <w:ind w:firstLineChars="100" w:firstLine="200"/>
              <w:rPr>
                <w:rFonts w:ascii="Arial" w:hAnsi="Arial" w:cs="Arial"/>
                <w:color w:val="000000"/>
                <w:sz w:val="20"/>
                <w:szCs w:val="20"/>
              </w:rPr>
            </w:pPr>
            <w:r w:rsidRPr="00026189">
              <w:rPr>
                <w:rFonts w:ascii="Arial" w:hAnsi="Arial" w:cs="Arial"/>
                <w:color w:val="000000"/>
                <w:sz w:val="20"/>
                <w:szCs w:val="20"/>
              </w:rPr>
              <w:t>Tessaoua</w:t>
            </w:r>
          </w:p>
        </w:tc>
        <w:tc>
          <w:tcPr>
            <w:tcW w:w="2453" w:type="dxa"/>
            <w:shd w:val="clear" w:color="auto" w:fill="auto"/>
            <w:noWrap/>
            <w:vAlign w:val="bottom"/>
            <w:hideMark/>
          </w:tcPr>
          <w:p w14:paraId="74E700D9"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500</w:t>
            </w:r>
          </w:p>
        </w:tc>
        <w:tc>
          <w:tcPr>
            <w:tcW w:w="1701" w:type="dxa"/>
            <w:shd w:val="clear" w:color="auto" w:fill="auto"/>
            <w:noWrap/>
            <w:vAlign w:val="bottom"/>
            <w:hideMark/>
          </w:tcPr>
          <w:p w14:paraId="5D1881BD"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35</w:t>
            </w:r>
          </w:p>
        </w:tc>
        <w:tc>
          <w:tcPr>
            <w:tcW w:w="1701" w:type="dxa"/>
            <w:shd w:val="clear" w:color="auto" w:fill="auto"/>
            <w:noWrap/>
            <w:vAlign w:val="bottom"/>
            <w:hideMark/>
          </w:tcPr>
          <w:p w14:paraId="103618A3" w14:textId="3774CE33"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0,0</w:t>
            </w:r>
            <w:r w:rsidR="00181D1E">
              <w:rPr>
                <w:rFonts w:ascii="Arial" w:hAnsi="Arial" w:cs="Arial"/>
                <w:color w:val="000000"/>
                <w:sz w:val="20"/>
                <w:szCs w:val="20"/>
              </w:rPr>
              <w:t>%</w:t>
            </w:r>
          </w:p>
        </w:tc>
      </w:tr>
      <w:tr w:rsidR="00026189" w:rsidRPr="00026189" w14:paraId="06D37B60" w14:textId="77777777" w:rsidTr="00B65436">
        <w:trPr>
          <w:trHeight w:val="264"/>
          <w:jc w:val="center"/>
        </w:trPr>
        <w:tc>
          <w:tcPr>
            <w:tcW w:w="2220" w:type="dxa"/>
            <w:shd w:val="clear" w:color="auto" w:fill="auto"/>
            <w:noWrap/>
            <w:vAlign w:val="bottom"/>
            <w:hideMark/>
          </w:tcPr>
          <w:p w14:paraId="0F55104B" w14:textId="77777777" w:rsidR="00026189" w:rsidRPr="00026189" w:rsidRDefault="00026189" w:rsidP="00026189">
            <w:pPr>
              <w:rPr>
                <w:rFonts w:ascii="Arial" w:hAnsi="Arial" w:cs="Arial"/>
                <w:b/>
                <w:bCs/>
                <w:color w:val="000000"/>
                <w:sz w:val="20"/>
                <w:szCs w:val="20"/>
              </w:rPr>
            </w:pPr>
            <w:r w:rsidRPr="00026189">
              <w:rPr>
                <w:rFonts w:ascii="Arial" w:hAnsi="Arial" w:cs="Arial"/>
                <w:b/>
                <w:bCs/>
                <w:color w:val="000000"/>
                <w:sz w:val="20"/>
                <w:szCs w:val="20"/>
              </w:rPr>
              <w:t>Tahoua</w:t>
            </w:r>
          </w:p>
        </w:tc>
        <w:tc>
          <w:tcPr>
            <w:tcW w:w="2453" w:type="dxa"/>
            <w:shd w:val="clear" w:color="auto" w:fill="auto"/>
            <w:noWrap/>
            <w:vAlign w:val="bottom"/>
            <w:hideMark/>
          </w:tcPr>
          <w:p w14:paraId="4D5EB40F" w14:textId="77777777"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800</w:t>
            </w:r>
          </w:p>
        </w:tc>
        <w:tc>
          <w:tcPr>
            <w:tcW w:w="1701" w:type="dxa"/>
            <w:shd w:val="clear" w:color="auto" w:fill="auto"/>
            <w:noWrap/>
            <w:vAlign w:val="bottom"/>
            <w:hideMark/>
          </w:tcPr>
          <w:p w14:paraId="452E80BC" w14:textId="77777777"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39</w:t>
            </w:r>
          </w:p>
        </w:tc>
        <w:tc>
          <w:tcPr>
            <w:tcW w:w="1701" w:type="dxa"/>
            <w:shd w:val="clear" w:color="auto" w:fill="auto"/>
            <w:noWrap/>
            <w:vAlign w:val="bottom"/>
            <w:hideMark/>
          </w:tcPr>
          <w:p w14:paraId="240D8B9C" w14:textId="2F88E8F0"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1,7</w:t>
            </w:r>
            <w:r w:rsidR="00181D1E">
              <w:rPr>
                <w:rFonts w:ascii="Arial" w:hAnsi="Arial" w:cs="Arial"/>
                <w:b/>
                <w:bCs/>
                <w:color w:val="000000"/>
                <w:sz w:val="20"/>
                <w:szCs w:val="20"/>
              </w:rPr>
              <w:t>%</w:t>
            </w:r>
          </w:p>
        </w:tc>
      </w:tr>
      <w:tr w:rsidR="00026189" w:rsidRPr="00026189" w14:paraId="7354DCFE" w14:textId="77777777" w:rsidTr="00B65436">
        <w:trPr>
          <w:trHeight w:val="264"/>
          <w:jc w:val="center"/>
        </w:trPr>
        <w:tc>
          <w:tcPr>
            <w:tcW w:w="2220" w:type="dxa"/>
            <w:shd w:val="clear" w:color="auto" w:fill="auto"/>
            <w:noWrap/>
            <w:vAlign w:val="bottom"/>
            <w:hideMark/>
          </w:tcPr>
          <w:p w14:paraId="55ABE75F" w14:textId="77777777" w:rsidR="00026189" w:rsidRPr="00026189" w:rsidRDefault="00026189" w:rsidP="00026189">
            <w:pPr>
              <w:ind w:firstLineChars="100" w:firstLine="200"/>
              <w:rPr>
                <w:rFonts w:ascii="Arial" w:hAnsi="Arial" w:cs="Arial"/>
                <w:color w:val="000000"/>
                <w:sz w:val="20"/>
                <w:szCs w:val="20"/>
              </w:rPr>
            </w:pPr>
            <w:proofErr w:type="spellStart"/>
            <w:r w:rsidRPr="00026189">
              <w:rPr>
                <w:rFonts w:ascii="Arial" w:hAnsi="Arial" w:cs="Arial"/>
                <w:color w:val="000000"/>
                <w:sz w:val="20"/>
                <w:szCs w:val="20"/>
              </w:rPr>
              <w:t>Badaguichiri</w:t>
            </w:r>
            <w:proofErr w:type="spellEnd"/>
          </w:p>
        </w:tc>
        <w:tc>
          <w:tcPr>
            <w:tcW w:w="2453" w:type="dxa"/>
            <w:shd w:val="clear" w:color="auto" w:fill="auto"/>
            <w:noWrap/>
            <w:vAlign w:val="bottom"/>
            <w:hideMark/>
          </w:tcPr>
          <w:p w14:paraId="3ED81116"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400</w:t>
            </w:r>
          </w:p>
        </w:tc>
        <w:tc>
          <w:tcPr>
            <w:tcW w:w="1701" w:type="dxa"/>
            <w:shd w:val="clear" w:color="auto" w:fill="auto"/>
            <w:noWrap/>
            <w:vAlign w:val="bottom"/>
            <w:hideMark/>
          </w:tcPr>
          <w:p w14:paraId="02145036"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38</w:t>
            </w:r>
          </w:p>
        </w:tc>
        <w:tc>
          <w:tcPr>
            <w:tcW w:w="1701" w:type="dxa"/>
            <w:shd w:val="clear" w:color="auto" w:fill="auto"/>
            <w:noWrap/>
            <w:vAlign w:val="bottom"/>
            <w:hideMark/>
          </w:tcPr>
          <w:p w14:paraId="6055EB93" w14:textId="3BA599A5"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0,0</w:t>
            </w:r>
            <w:r w:rsidR="00181D1E">
              <w:rPr>
                <w:rFonts w:ascii="Arial" w:hAnsi="Arial" w:cs="Arial"/>
                <w:color w:val="000000"/>
                <w:sz w:val="20"/>
                <w:szCs w:val="20"/>
              </w:rPr>
              <w:t>%</w:t>
            </w:r>
          </w:p>
        </w:tc>
      </w:tr>
      <w:tr w:rsidR="00026189" w:rsidRPr="00026189" w14:paraId="2BD23AC5" w14:textId="77777777" w:rsidTr="00B65436">
        <w:trPr>
          <w:trHeight w:val="264"/>
          <w:jc w:val="center"/>
        </w:trPr>
        <w:tc>
          <w:tcPr>
            <w:tcW w:w="2220" w:type="dxa"/>
            <w:shd w:val="clear" w:color="auto" w:fill="auto"/>
            <w:noWrap/>
            <w:vAlign w:val="bottom"/>
            <w:hideMark/>
          </w:tcPr>
          <w:p w14:paraId="0F6961AB" w14:textId="77777777" w:rsidR="00026189" w:rsidRPr="00026189" w:rsidRDefault="00026189" w:rsidP="00026189">
            <w:pPr>
              <w:ind w:firstLineChars="100" w:firstLine="200"/>
              <w:rPr>
                <w:rFonts w:ascii="Arial" w:hAnsi="Arial" w:cs="Arial"/>
                <w:color w:val="000000"/>
                <w:sz w:val="20"/>
                <w:szCs w:val="20"/>
              </w:rPr>
            </w:pPr>
            <w:r w:rsidRPr="00026189">
              <w:rPr>
                <w:rFonts w:ascii="Arial" w:hAnsi="Arial" w:cs="Arial"/>
                <w:color w:val="000000"/>
                <w:sz w:val="20"/>
                <w:szCs w:val="20"/>
              </w:rPr>
              <w:lastRenderedPageBreak/>
              <w:t>Karofane</w:t>
            </w:r>
          </w:p>
        </w:tc>
        <w:tc>
          <w:tcPr>
            <w:tcW w:w="2453" w:type="dxa"/>
            <w:shd w:val="clear" w:color="auto" w:fill="auto"/>
            <w:noWrap/>
            <w:vAlign w:val="bottom"/>
            <w:hideMark/>
          </w:tcPr>
          <w:p w14:paraId="58D4A7F9"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200</w:t>
            </w:r>
          </w:p>
        </w:tc>
        <w:tc>
          <w:tcPr>
            <w:tcW w:w="1701" w:type="dxa"/>
            <w:shd w:val="clear" w:color="auto" w:fill="auto"/>
            <w:noWrap/>
            <w:vAlign w:val="bottom"/>
            <w:hideMark/>
          </w:tcPr>
          <w:p w14:paraId="713CE6E7"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40</w:t>
            </w:r>
          </w:p>
        </w:tc>
        <w:tc>
          <w:tcPr>
            <w:tcW w:w="1701" w:type="dxa"/>
            <w:shd w:val="clear" w:color="auto" w:fill="auto"/>
            <w:noWrap/>
            <w:vAlign w:val="bottom"/>
            <w:hideMark/>
          </w:tcPr>
          <w:p w14:paraId="487317E4" w14:textId="3B5A69AA"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2,5</w:t>
            </w:r>
            <w:r w:rsidR="00181D1E">
              <w:rPr>
                <w:rFonts w:ascii="Arial" w:hAnsi="Arial" w:cs="Arial"/>
                <w:color w:val="000000"/>
                <w:sz w:val="20"/>
                <w:szCs w:val="20"/>
              </w:rPr>
              <w:t>%</w:t>
            </w:r>
          </w:p>
        </w:tc>
      </w:tr>
      <w:tr w:rsidR="00026189" w:rsidRPr="00026189" w14:paraId="1F35F92F" w14:textId="77777777" w:rsidTr="00B65436">
        <w:trPr>
          <w:trHeight w:val="264"/>
          <w:jc w:val="center"/>
        </w:trPr>
        <w:tc>
          <w:tcPr>
            <w:tcW w:w="2220" w:type="dxa"/>
            <w:shd w:val="clear" w:color="auto" w:fill="auto"/>
            <w:noWrap/>
            <w:vAlign w:val="bottom"/>
            <w:hideMark/>
          </w:tcPr>
          <w:p w14:paraId="77B5459A" w14:textId="77777777" w:rsidR="00026189" w:rsidRPr="00026189" w:rsidRDefault="00026189" w:rsidP="00026189">
            <w:pPr>
              <w:ind w:firstLineChars="100" w:firstLine="200"/>
              <w:rPr>
                <w:rFonts w:ascii="Arial" w:hAnsi="Arial" w:cs="Arial"/>
                <w:color w:val="000000"/>
                <w:sz w:val="20"/>
                <w:szCs w:val="20"/>
              </w:rPr>
            </w:pPr>
            <w:r w:rsidRPr="00026189">
              <w:rPr>
                <w:rFonts w:ascii="Arial" w:hAnsi="Arial" w:cs="Arial"/>
                <w:color w:val="000000"/>
                <w:sz w:val="20"/>
                <w:szCs w:val="20"/>
              </w:rPr>
              <w:t>Tounfafi</w:t>
            </w:r>
          </w:p>
        </w:tc>
        <w:tc>
          <w:tcPr>
            <w:tcW w:w="2453" w:type="dxa"/>
            <w:shd w:val="clear" w:color="auto" w:fill="auto"/>
            <w:noWrap/>
            <w:vAlign w:val="bottom"/>
            <w:hideMark/>
          </w:tcPr>
          <w:p w14:paraId="003C235B"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200</w:t>
            </w:r>
          </w:p>
        </w:tc>
        <w:tc>
          <w:tcPr>
            <w:tcW w:w="1701" w:type="dxa"/>
            <w:shd w:val="clear" w:color="auto" w:fill="auto"/>
            <w:noWrap/>
            <w:vAlign w:val="bottom"/>
            <w:hideMark/>
          </w:tcPr>
          <w:p w14:paraId="1E250E96"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38</w:t>
            </w:r>
          </w:p>
        </w:tc>
        <w:tc>
          <w:tcPr>
            <w:tcW w:w="1701" w:type="dxa"/>
            <w:shd w:val="clear" w:color="auto" w:fill="auto"/>
            <w:noWrap/>
            <w:vAlign w:val="bottom"/>
            <w:hideMark/>
          </w:tcPr>
          <w:p w14:paraId="0EAD50A3" w14:textId="662C7FD6"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2,5</w:t>
            </w:r>
            <w:r w:rsidR="00181D1E">
              <w:rPr>
                <w:rFonts w:ascii="Arial" w:hAnsi="Arial" w:cs="Arial"/>
                <w:color w:val="000000"/>
                <w:sz w:val="20"/>
                <w:szCs w:val="20"/>
              </w:rPr>
              <w:t>%</w:t>
            </w:r>
          </w:p>
        </w:tc>
      </w:tr>
      <w:tr w:rsidR="00026189" w:rsidRPr="00026189" w14:paraId="5C0E47C9" w14:textId="77777777" w:rsidTr="00B65436">
        <w:trPr>
          <w:trHeight w:val="264"/>
          <w:jc w:val="center"/>
        </w:trPr>
        <w:tc>
          <w:tcPr>
            <w:tcW w:w="2220" w:type="dxa"/>
            <w:shd w:val="clear" w:color="auto" w:fill="auto"/>
            <w:noWrap/>
            <w:vAlign w:val="bottom"/>
            <w:hideMark/>
          </w:tcPr>
          <w:p w14:paraId="23B8D149" w14:textId="77777777" w:rsidR="00026189" w:rsidRPr="00026189" w:rsidRDefault="00026189" w:rsidP="00026189">
            <w:pPr>
              <w:rPr>
                <w:rFonts w:ascii="Arial" w:hAnsi="Arial" w:cs="Arial"/>
                <w:b/>
                <w:bCs/>
                <w:color w:val="000000"/>
                <w:sz w:val="20"/>
                <w:szCs w:val="20"/>
              </w:rPr>
            </w:pPr>
            <w:r w:rsidRPr="00026189">
              <w:rPr>
                <w:rFonts w:ascii="Arial" w:hAnsi="Arial" w:cs="Arial"/>
                <w:b/>
                <w:bCs/>
                <w:color w:val="000000"/>
                <w:sz w:val="20"/>
                <w:szCs w:val="20"/>
              </w:rPr>
              <w:t>Zinder</w:t>
            </w:r>
          </w:p>
        </w:tc>
        <w:tc>
          <w:tcPr>
            <w:tcW w:w="2453" w:type="dxa"/>
            <w:shd w:val="clear" w:color="auto" w:fill="auto"/>
            <w:noWrap/>
            <w:vAlign w:val="bottom"/>
            <w:hideMark/>
          </w:tcPr>
          <w:p w14:paraId="0441ACB9" w14:textId="77777777"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800</w:t>
            </w:r>
          </w:p>
        </w:tc>
        <w:tc>
          <w:tcPr>
            <w:tcW w:w="1701" w:type="dxa"/>
            <w:shd w:val="clear" w:color="auto" w:fill="auto"/>
            <w:noWrap/>
            <w:vAlign w:val="bottom"/>
            <w:hideMark/>
          </w:tcPr>
          <w:p w14:paraId="668BE875" w14:textId="77777777"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35</w:t>
            </w:r>
          </w:p>
        </w:tc>
        <w:tc>
          <w:tcPr>
            <w:tcW w:w="1701" w:type="dxa"/>
            <w:shd w:val="clear" w:color="auto" w:fill="auto"/>
            <w:noWrap/>
            <w:vAlign w:val="bottom"/>
            <w:hideMark/>
          </w:tcPr>
          <w:p w14:paraId="2061B3A3" w14:textId="633A7E88"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1,0</w:t>
            </w:r>
            <w:r w:rsidR="00181D1E">
              <w:rPr>
                <w:rFonts w:ascii="Arial" w:hAnsi="Arial" w:cs="Arial"/>
                <w:b/>
                <w:bCs/>
                <w:color w:val="000000"/>
                <w:sz w:val="20"/>
                <w:szCs w:val="20"/>
              </w:rPr>
              <w:t>%</w:t>
            </w:r>
          </w:p>
        </w:tc>
      </w:tr>
      <w:tr w:rsidR="00026189" w:rsidRPr="00026189" w14:paraId="52BAA999" w14:textId="77777777" w:rsidTr="00B65436">
        <w:trPr>
          <w:trHeight w:val="264"/>
          <w:jc w:val="center"/>
        </w:trPr>
        <w:tc>
          <w:tcPr>
            <w:tcW w:w="2220" w:type="dxa"/>
            <w:shd w:val="clear" w:color="auto" w:fill="auto"/>
            <w:noWrap/>
            <w:vAlign w:val="bottom"/>
            <w:hideMark/>
          </w:tcPr>
          <w:p w14:paraId="17098E6A" w14:textId="77777777" w:rsidR="00026189" w:rsidRPr="00026189" w:rsidRDefault="00026189" w:rsidP="00026189">
            <w:pPr>
              <w:ind w:firstLineChars="100" w:firstLine="200"/>
              <w:rPr>
                <w:rFonts w:ascii="Arial" w:hAnsi="Arial" w:cs="Arial"/>
                <w:color w:val="000000"/>
                <w:sz w:val="20"/>
                <w:szCs w:val="20"/>
              </w:rPr>
            </w:pPr>
            <w:r w:rsidRPr="00026189">
              <w:rPr>
                <w:rFonts w:ascii="Arial" w:hAnsi="Arial" w:cs="Arial"/>
                <w:color w:val="000000"/>
                <w:sz w:val="20"/>
                <w:szCs w:val="20"/>
              </w:rPr>
              <w:t>Bande</w:t>
            </w:r>
          </w:p>
        </w:tc>
        <w:tc>
          <w:tcPr>
            <w:tcW w:w="2453" w:type="dxa"/>
            <w:shd w:val="clear" w:color="auto" w:fill="auto"/>
            <w:noWrap/>
            <w:vAlign w:val="bottom"/>
            <w:hideMark/>
          </w:tcPr>
          <w:p w14:paraId="64A92876"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200</w:t>
            </w:r>
          </w:p>
        </w:tc>
        <w:tc>
          <w:tcPr>
            <w:tcW w:w="1701" w:type="dxa"/>
            <w:shd w:val="clear" w:color="auto" w:fill="auto"/>
            <w:noWrap/>
            <w:vAlign w:val="bottom"/>
            <w:hideMark/>
          </w:tcPr>
          <w:p w14:paraId="48821A4C"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36</w:t>
            </w:r>
          </w:p>
        </w:tc>
        <w:tc>
          <w:tcPr>
            <w:tcW w:w="1701" w:type="dxa"/>
            <w:shd w:val="clear" w:color="auto" w:fill="auto"/>
            <w:noWrap/>
            <w:vAlign w:val="bottom"/>
            <w:hideMark/>
          </w:tcPr>
          <w:p w14:paraId="4237B0DF" w14:textId="5973E595"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0,0</w:t>
            </w:r>
            <w:r w:rsidR="00181D1E">
              <w:rPr>
                <w:rFonts w:ascii="Arial" w:hAnsi="Arial" w:cs="Arial"/>
                <w:color w:val="000000"/>
                <w:sz w:val="20"/>
                <w:szCs w:val="20"/>
              </w:rPr>
              <w:t>%</w:t>
            </w:r>
          </w:p>
        </w:tc>
      </w:tr>
      <w:tr w:rsidR="00026189" w:rsidRPr="00026189" w14:paraId="452A4BEB" w14:textId="77777777" w:rsidTr="00B65436">
        <w:trPr>
          <w:trHeight w:val="264"/>
          <w:jc w:val="center"/>
        </w:trPr>
        <w:tc>
          <w:tcPr>
            <w:tcW w:w="2220" w:type="dxa"/>
            <w:shd w:val="clear" w:color="auto" w:fill="auto"/>
            <w:noWrap/>
            <w:vAlign w:val="bottom"/>
            <w:hideMark/>
          </w:tcPr>
          <w:p w14:paraId="451C1117" w14:textId="77777777" w:rsidR="00026189" w:rsidRPr="00026189" w:rsidRDefault="00026189" w:rsidP="00026189">
            <w:pPr>
              <w:ind w:firstLineChars="100" w:firstLine="200"/>
              <w:rPr>
                <w:rFonts w:ascii="Arial" w:hAnsi="Arial" w:cs="Arial"/>
                <w:color w:val="000000"/>
                <w:sz w:val="20"/>
                <w:szCs w:val="20"/>
              </w:rPr>
            </w:pPr>
            <w:r w:rsidRPr="00026189">
              <w:rPr>
                <w:rFonts w:ascii="Arial" w:hAnsi="Arial" w:cs="Arial"/>
                <w:color w:val="000000"/>
                <w:sz w:val="20"/>
                <w:szCs w:val="20"/>
              </w:rPr>
              <w:t>Doungou</w:t>
            </w:r>
          </w:p>
        </w:tc>
        <w:tc>
          <w:tcPr>
            <w:tcW w:w="2453" w:type="dxa"/>
            <w:shd w:val="clear" w:color="auto" w:fill="auto"/>
            <w:noWrap/>
            <w:vAlign w:val="bottom"/>
            <w:hideMark/>
          </w:tcPr>
          <w:p w14:paraId="60C874B2"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400</w:t>
            </w:r>
          </w:p>
        </w:tc>
        <w:tc>
          <w:tcPr>
            <w:tcW w:w="1701" w:type="dxa"/>
            <w:shd w:val="clear" w:color="auto" w:fill="auto"/>
            <w:noWrap/>
            <w:vAlign w:val="bottom"/>
            <w:hideMark/>
          </w:tcPr>
          <w:p w14:paraId="0531CC99"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34</w:t>
            </w:r>
          </w:p>
        </w:tc>
        <w:tc>
          <w:tcPr>
            <w:tcW w:w="1701" w:type="dxa"/>
            <w:shd w:val="clear" w:color="auto" w:fill="auto"/>
            <w:noWrap/>
            <w:vAlign w:val="bottom"/>
            <w:hideMark/>
          </w:tcPr>
          <w:p w14:paraId="6282CDB1" w14:textId="20E3A8EF"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2,4</w:t>
            </w:r>
            <w:r w:rsidR="00181D1E">
              <w:rPr>
                <w:rFonts w:ascii="Arial" w:hAnsi="Arial" w:cs="Arial"/>
                <w:color w:val="000000"/>
                <w:sz w:val="20"/>
                <w:szCs w:val="20"/>
              </w:rPr>
              <w:t>%</w:t>
            </w:r>
          </w:p>
        </w:tc>
      </w:tr>
      <w:tr w:rsidR="00026189" w:rsidRPr="00026189" w14:paraId="353139E8" w14:textId="77777777" w:rsidTr="00B65436">
        <w:trPr>
          <w:trHeight w:val="264"/>
          <w:jc w:val="center"/>
        </w:trPr>
        <w:tc>
          <w:tcPr>
            <w:tcW w:w="2220" w:type="dxa"/>
            <w:shd w:val="clear" w:color="auto" w:fill="auto"/>
            <w:noWrap/>
            <w:vAlign w:val="bottom"/>
            <w:hideMark/>
          </w:tcPr>
          <w:p w14:paraId="2E4FE461" w14:textId="77777777" w:rsidR="00026189" w:rsidRPr="00026189" w:rsidRDefault="00026189" w:rsidP="00026189">
            <w:pPr>
              <w:ind w:firstLineChars="100" w:firstLine="200"/>
              <w:rPr>
                <w:rFonts w:ascii="Arial" w:hAnsi="Arial" w:cs="Arial"/>
                <w:color w:val="000000"/>
                <w:sz w:val="20"/>
                <w:szCs w:val="20"/>
              </w:rPr>
            </w:pPr>
            <w:r w:rsidRPr="00026189">
              <w:rPr>
                <w:rFonts w:ascii="Arial" w:hAnsi="Arial" w:cs="Arial"/>
                <w:color w:val="000000"/>
                <w:sz w:val="20"/>
                <w:szCs w:val="20"/>
              </w:rPr>
              <w:t>Guidimouni</w:t>
            </w:r>
          </w:p>
        </w:tc>
        <w:tc>
          <w:tcPr>
            <w:tcW w:w="2453" w:type="dxa"/>
            <w:shd w:val="clear" w:color="auto" w:fill="auto"/>
            <w:noWrap/>
            <w:vAlign w:val="bottom"/>
            <w:hideMark/>
          </w:tcPr>
          <w:p w14:paraId="49F931E8"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200</w:t>
            </w:r>
          </w:p>
        </w:tc>
        <w:tc>
          <w:tcPr>
            <w:tcW w:w="1701" w:type="dxa"/>
            <w:shd w:val="clear" w:color="auto" w:fill="auto"/>
            <w:noWrap/>
            <w:vAlign w:val="bottom"/>
            <w:hideMark/>
          </w:tcPr>
          <w:p w14:paraId="77FC74DC" w14:textId="77777777"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36</w:t>
            </w:r>
          </w:p>
        </w:tc>
        <w:tc>
          <w:tcPr>
            <w:tcW w:w="1701" w:type="dxa"/>
            <w:shd w:val="clear" w:color="auto" w:fill="auto"/>
            <w:noWrap/>
            <w:vAlign w:val="bottom"/>
            <w:hideMark/>
          </w:tcPr>
          <w:p w14:paraId="2B1C051F" w14:textId="433AC198" w:rsidR="00026189" w:rsidRPr="00026189" w:rsidRDefault="00026189" w:rsidP="00026189">
            <w:pPr>
              <w:jc w:val="right"/>
              <w:rPr>
                <w:rFonts w:ascii="Arial" w:hAnsi="Arial" w:cs="Arial"/>
                <w:color w:val="000000"/>
                <w:sz w:val="20"/>
                <w:szCs w:val="20"/>
              </w:rPr>
            </w:pPr>
            <w:r w:rsidRPr="00026189">
              <w:rPr>
                <w:rFonts w:ascii="Arial" w:hAnsi="Arial" w:cs="Arial"/>
                <w:color w:val="000000"/>
                <w:sz w:val="20"/>
                <w:szCs w:val="20"/>
              </w:rPr>
              <w:t>0,0</w:t>
            </w:r>
            <w:r w:rsidR="00181D1E">
              <w:rPr>
                <w:rFonts w:ascii="Arial" w:hAnsi="Arial" w:cs="Arial"/>
                <w:color w:val="000000"/>
                <w:sz w:val="20"/>
                <w:szCs w:val="20"/>
              </w:rPr>
              <w:t>%</w:t>
            </w:r>
          </w:p>
        </w:tc>
      </w:tr>
      <w:tr w:rsidR="00026189" w:rsidRPr="00026189" w14:paraId="41C1F85C" w14:textId="77777777" w:rsidTr="00B65436">
        <w:trPr>
          <w:trHeight w:val="264"/>
          <w:jc w:val="center"/>
        </w:trPr>
        <w:tc>
          <w:tcPr>
            <w:tcW w:w="2220" w:type="dxa"/>
            <w:shd w:val="clear" w:color="D9E7FD" w:fill="D9E7FD"/>
            <w:noWrap/>
            <w:vAlign w:val="bottom"/>
            <w:hideMark/>
          </w:tcPr>
          <w:p w14:paraId="4D194591" w14:textId="77777777" w:rsidR="00026189" w:rsidRPr="00026189" w:rsidRDefault="00026189" w:rsidP="00026189">
            <w:pPr>
              <w:rPr>
                <w:rFonts w:ascii="Arial" w:hAnsi="Arial" w:cs="Arial"/>
                <w:b/>
                <w:bCs/>
                <w:color w:val="000000"/>
                <w:sz w:val="20"/>
                <w:szCs w:val="20"/>
              </w:rPr>
            </w:pPr>
            <w:r w:rsidRPr="00026189">
              <w:rPr>
                <w:rFonts w:ascii="Arial" w:hAnsi="Arial" w:cs="Arial"/>
                <w:b/>
                <w:bCs/>
                <w:color w:val="000000"/>
                <w:sz w:val="20"/>
                <w:szCs w:val="20"/>
              </w:rPr>
              <w:t>Total général</w:t>
            </w:r>
          </w:p>
        </w:tc>
        <w:tc>
          <w:tcPr>
            <w:tcW w:w="2453" w:type="dxa"/>
            <w:shd w:val="clear" w:color="D9E7FD" w:fill="D9E7FD"/>
            <w:noWrap/>
            <w:vAlign w:val="bottom"/>
            <w:hideMark/>
          </w:tcPr>
          <w:p w14:paraId="5D8E9A20" w14:textId="77777777"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2400</w:t>
            </w:r>
          </w:p>
        </w:tc>
        <w:tc>
          <w:tcPr>
            <w:tcW w:w="1701" w:type="dxa"/>
            <w:shd w:val="clear" w:color="D9E7FD" w:fill="D9E7FD"/>
            <w:noWrap/>
            <w:vAlign w:val="bottom"/>
            <w:hideMark/>
          </w:tcPr>
          <w:p w14:paraId="42BB9E48" w14:textId="77777777"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36</w:t>
            </w:r>
          </w:p>
        </w:tc>
        <w:tc>
          <w:tcPr>
            <w:tcW w:w="1701" w:type="dxa"/>
            <w:shd w:val="clear" w:color="D9E7FD" w:fill="D9E7FD"/>
            <w:noWrap/>
            <w:vAlign w:val="bottom"/>
            <w:hideMark/>
          </w:tcPr>
          <w:p w14:paraId="32B41623" w14:textId="0CBF0EB9" w:rsidR="00026189" w:rsidRPr="00026189" w:rsidRDefault="00026189" w:rsidP="00026189">
            <w:pPr>
              <w:jc w:val="right"/>
              <w:rPr>
                <w:rFonts w:ascii="Arial" w:hAnsi="Arial" w:cs="Arial"/>
                <w:b/>
                <w:bCs/>
                <w:color w:val="000000"/>
                <w:sz w:val="20"/>
                <w:szCs w:val="20"/>
              </w:rPr>
            </w:pPr>
            <w:r w:rsidRPr="00026189">
              <w:rPr>
                <w:rFonts w:ascii="Arial" w:hAnsi="Arial" w:cs="Arial"/>
                <w:b/>
                <w:bCs/>
                <w:color w:val="000000"/>
                <w:sz w:val="20"/>
                <w:szCs w:val="20"/>
              </w:rPr>
              <w:t>1,0</w:t>
            </w:r>
            <w:r w:rsidR="00181D1E">
              <w:rPr>
                <w:rFonts w:ascii="Arial" w:hAnsi="Arial" w:cs="Arial"/>
                <w:b/>
                <w:bCs/>
                <w:color w:val="000000"/>
                <w:sz w:val="20"/>
                <w:szCs w:val="20"/>
              </w:rPr>
              <w:t>%</w:t>
            </w:r>
          </w:p>
        </w:tc>
      </w:tr>
    </w:tbl>
    <w:p w14:paraId="4CB5AED2" w14:textId="25B710B4" w:rsidR="00520566" w:rsidRDefault="00B07FF0" w:rsidP="00FC0713">
      <w:pPr>
        <w:tabs>
          <w:tab w:val="left" w:pos="4402"/>
        </w:tabs>
        <w:spacing w:line="276" w:lineRule="auto"/>
        <w:rPr>
          <w:rFonts w:ascii="Bookman Old Style" w:hAnsi="Bookman Old Style" w:cs="Arial"/>
        </w:rPr>
      </w:pPr>
      <w:r>
        <w:rPr>
          <w:rFonts w:ascii="Bookman Old Style" w:hAnsi="Bookman Old Style" w:cs="Arial"/>
          <w:sz w:val="18"/>
          <w:szCs w:val="18"/>
        </w:rPr>
        <w:t xml:space="preserve">        </w:t>
      </w:r>
      <w:r w:rsidR="0042161C" w:rsidRPr="000E18CE">
        <w:rPr>
          <w:rFonts w:ascii="Bookman Old Style" w:hAnsi="Bookman Old Style" w:cs="Arial"/>
          <w:sz w:val="18"/>
          <w:szCs w:val="18"/>
        </w:rPr>
        <w:t>Source : Enquête terrain, septembre 2021</w:t>
      </w:r>
    </w:p>
    <w:p w14:paraId="4CC803EB" w14:textId="47A332B6" w:rsidR="00520566" w:rsidRPr="001310BC" w:rsidRDefault="00587CA2" w:rsidP="007739CB">
      <w:pPr>
        <w:pStyle w:val="Titre3"/>
        <w:numPr>
          <w:ilvl w:val="2"/>
          <w:numId w:val="3"/>
        </w:numPr>
        <w:rPr>
          <w:rFonts w:ascii="Bookman Old Style" w:hAnsi="Bookman Old Style" w:cs="Arial"/>
          <w:i/>
          <w:iCs/>
        </w:rPr>
      </w:pPr>
      <w:bookmarkStart w:id="37" w:name="_Toc97822360"/>
      <w:r w:rsidRPr="001310BC">
        <w:rPr>
          <w:rFonts w:ascii="Bookman Old Style" w:hAnsi="Bookman Old Style" w:cs="Arial"/>
          <w:i/>
          <w:iCs/>
        </w:rPr>
        <w:t>Consentement des chefs de ménage au prêt</w:t>
      </w:r>
      <w:bookmarkEnd w:id="37"/>
    </w:p>
    <w:p w14:paraId="5DE32660" w14:textId="672BC83A" w:rsidR="00520566" w:rsidRDefault="00851B89" w:rsidP="007B5322">
      <w:pPr>
        <w:tabs>
          <w:tab w:val="left" w:pos="4402"/>
        </w:tabs>
        <w:spacing w:before="240" w:line="276" w:lineRule="auto"/>
        <w:jc w:val="both"/>
        <w:rPr>
          <w:rFonts w:ascii="Bookman Old Style" w:hAnsi="Bookman Old Style" w:cs="Arial"/>
        </w:rPr>
      </w:pPr>
      <w:r>
        <w:rPr>
          <w:rFonts w:ascii="Bookman Old Style" w:hAnsi="Bookman Old Style" w:cs="Arial"/>
        </w:rPr>
        <w:t>L’opération de distribution/cession consiste à donner une certaine quantité des vivres aux femmes membre de GFS qu’elles restituent après la récolte avec une bonification (généralement 10%) déterminée de commun accord par le réseau de groupements féminins MMD. Ainsi, chaque membre GFS ayant perçu</w:t>
      </w:r>
      <w:r w:rsidR="00AF4FC1">
        <w:rPr>
          <w:rFonts w:ascii="Bookman Old Style" w:hAnsi="Bookman Old Style" w:cs="Arial"/>
        </w:rPr>
        <w:t xml:space="preserve"> des vivres doit rembourser avec un plus de 10% afin d’augmenter le stock et pouvoir donner plus à la prochaine campagne agricole.</w:t>
      </w:r>
      <w:r w:rsidR="008825FC">
        <w:rPr>
          <w:rFonts w:ascii="Bookman Old Style" w:hAnsi="Bookman Old Style" w:cs="Arial"/>
        </w:rPr>
        <w:t xml:space="preserve"> Il faut toutefois se dire que le prêt doit être fait avec le consentement de chef de ménage et qu’il accepte donc de rembourser le prêt par la famille.</w:t>
      </w:r>
    </w:p>
    <w:p w14:paraId="250D33D4" w14:textId="64897E77" w:rsidR="008825FC" w:rsidRDefault="008825FC" w:rsidP="007B5322">
      <w:pPr>
        <w:tabs>
          <w:tab w:val="left" w:pos="4402"/>
        </w:tabs>
        <w:spacing w:before="240" w:line="276" w:lineRule="auto"/>
        <w:jc w:val="both"/>
        <w:rPr>
          <w:rFonts w:ascii="Bookman Old Style" w:hAnsi="Bookman Old Style" w:cs="Arial"/>
        </w:rPr>
      </w:pPr>
      <w:r>
        <w:rPr>
          <w:rFonts w:ascii="Bookman Old Style" w:hAnsi="Bookman Old Style" w:cs="Arial"/>
        </w:rPr>
        <w:t xml:space="preserve">Le </w:t>
      </w:r>
      <w:r w:rsidR="00B91700">
        <w:rPr>
          <w:rFonts w:ascii="Bookman Old Style" w:hAnsi="Bookman Old Style" w:cs="Arial"/>
        </w:rPr>
        <w:t>figure</w:t>
      </w:r>
      <w:r>
        <w:rPr>
          <w:rFonts w:ascii="Bookman Old Style" w:hAnsi="Bookman Old Style" w:cs="Arial"/>
        </w:rPr>
        <w:t xml:space="preserve"> ci-dessous nous informe que les femmes prennent les vivres avec le consentement de leurs maris/chefs de ménage. Ainsi, 96% des répondants confirment que c’est avec l’accord des maris contre 4% qui déclarent que ce n’est pas toujours le cas, c’est-à-dire que parfois les femmes prennent sans l’accord de leurs époux.</w:t>
      </w:r>
    </w:p>
    <w:p w14:paraId="010C79FC" w14:textId="77777777" w:rsidR="00851B89" w:rsidRDefault="00851B89" w:rsidP="008825FC">
      <w:pPr>
        <w:tabs>
          <w:tab w:val="left" w:pos="4402"/>
        </w:tabs>
        <w:spacing w:line="276" w:lineRule="auto"/>
        <w:jc w:val="both"/>
        <w:rPr>
          <w:rFonts w:ascii="Bookman Old Style" w:hAnsi="Bookman Old Style" w:cs="Arial"/>
        </w:rPr>
      </w:pPr>
    </w:p>
    <w:p w14:paraId="5C21F5EC" w14:textId="0A8392C0" w:rsidR="00851B89" w:rsidRDefault="00851B89" w:rsidP="00E34227">
      <w:pPr>
        <w:tabs>
          <w:tab w:val="left" w:pos="4402"/>
        </w:tabs>
        <w:spacing w:line="276" w:lineRule="auto"/>
        <w:jc w:val="center"/>
        <w:rPr>
          <w:rFonts w:ascii="Bookman Old Style" w:hAnsi="Bookman Old Style" w:cs="Arial"/>
        </w:rPr>
      </w:pPr>
      <w:r>
        <w:rPr>
          <w:noProof/>
        </w:rPr>
        <w:drawing>
          <wp:inline distT="0" distB="0" distL="0" distR="0" wp14:anchorId="74A195E1" wp14:editId="75FFD989">
            <wp:extent cx="4572000" cy="2743200"/>
            <wp:effectExtent l="0" t="0" r="0" b="0"/>
            <wp:docPr id="9" name="Graphique 9">
              <a:extLst xmlns:a="http://schemas.openxmlformats.org/drawingml/2006/main">
                <a:ext uri="{FF2B5EF4-FFF2-40B4-BE49-F238E27FC236}">
                  <a16:creationId xmlns:a16="http://schemas.microsoft.com/office/drawing/2014/main" id="{3D313B22-C361-4263-8291-3CC6B9C66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2B4D24" w14:textId="74B7ACFA" w:rsidR="000E18CE" w:rsidRPr="000E18CE" w:rsidRDefault="000D4946" w:rsidP="003D37B5">
      <w:pPr>
        <w:pStyle w:val="Lgende"/>
        <w:rPr>
          <w:rFonts w:ascii="Bookman Old Style" w:hAnsi="Bookman Old Style" w:cs="Arial"/>
        </w:rPr>
      </w:pPr>
      <w:r>
        <w:rPr>
          <w:rFonts w:ascii="Bookman Old Style" w:hAnsi="Bookman Old Style" w:cs="Arial"/>
        </w:rPr>
        <w:t xml:space="preserve">                </w:t>
      </w:r>
      <w:bookmarkStart w:id="38" w:name="_Toc97823222"/>
      <w:r w:rsidR="00FC0713">
        <w:t xml:space="preserve">Figure </w:t>
      </w:r>
      <w:fldSimple w:instr=" SEQ Figure \* ARABIC ">
        <w:r w:rsidR="004F4E33">
          <w:rPr>
            <w:noProof/>
          </w:rPr>
          <w:t>9</w:t>
        </w:r>
      </w:fldSimple>
      <w:r w:rsidR="00FC0713">
        <w:t> : Consentement des maris pour le prêt</w:t>
      </w:r>
      <w:bookmarkEnd w:id="38"/>
    </w:p>
    <w:p w14:paraId="6F77E9C6" w14:textId="55FBB710" w:rsidR="00587CA2" w:rsidRPr="001310BC" w:rsidRDefault="00587CA2" w:rsidP="007739CB">
      <w:pPr>
        <w:pStyle w:val="Titre3"/>
        <w:numPr>
          <w:ilvl w:val="2"/>
          <w:numId w:val="3"/>
        </w:numPr>
        <w:rPr>
          <w:rFonts w:ascii="Bookman Old Style" w:hAnsi="Bookman Old Style" w:cs="Arial"/>
          <w:i/>
          <w:iCs/>
        </w:rPr>
      </w:pPr>
      <w:bookmarkStart w:id="39" w:name="_Toc97822361"/>
      <w:r w:rsidRPr="001310BC">
        <w:rPr>
          <w:rFonts w:ascii="Bookman Old Style" w:hAnsi="Bookman Old Style" w:cs="Arial"/>
          <w:i/>
          <w:iCs/>
        </w:rPr>
        <w:lastRenderedPageBreak/>
        <w:t>Quantités des vivres distribués 1ère et 2è cession</w:t>
      </w:r>
      <w:bookmarkEnd w:id="39"/>
    </w:p>
    <w:p w14:paraId="46EB7584" w14:textId="5AD55961" w:rsidR="00587CA2" w:rsidRDefault="001D15BC" w:rsidP="00206717">
      <w:pPr>
        <w:tabs>
          <w:tab w:val="left" w:pos="4402"/>
        </w:tabs>
        <w:spacing w:before="240" w:line="276" w:lineRule="auto"/>
        <w:jc w:val="both"/>
        <w:rPr>
          <w:rFonts w:ascii="Bookman Old Style" w:hAnsi="Bookman Old Style" w:cs="Arial"/>
        </w:rPr>
      </w:pPr>
      <w:r w:rsidRPr="0053435A">
        <w:rPr>
          <w:rFonts w:ascii="Bookman Old Style" w:hAnsi="Bookman Old Style" w:cs="Arial"/>
        </w:rPr>
        <w:t xml:space="preserve">Globalement deux sessions de distribution ont eu lieu en 2020 dans les villages enquêtés. </w:t>
      </w:r>
      <w:r w:rsidR="00C817B3" w:rsidRPr="0053435A">
        <w:rPr>
          <w:rFonts w:ascii="Bookman Old Style" w:hAnsi="Bookman Old Style" w:cs="Arial"/>
        </w:rPr>
        <w:t xml:space="preserve">Au total </w:t>
      </w:r>
      <w:r w:rsidR="00B53627" w:rsidRPr="0053435A">
        <w:rPr>
          <w:rFonts w:ascii="Bookman Old Style" w:hAnsi="Bookman Old Style" w:cs="Arial"/>
        </w:rPr>
        <w:t>3 578</w:t>
      </w:r>
      <w:r w:rsidR="00C817B3" w:rsidRPr="0053435A">
        <w:rPr>
          <w:rFonts w:ascii="Bookman Old Style" w:hAnsi="Bookman Old Style" w:cs="Arial"/>
        </w:rPr>
        <w:t xml:space="preserve"> sacs</w:t>
      </w:r>
      <w:r w:rsidR="00231D92">
        <w:rPr>
          <w:rFonts w:ascii="Bookman Old Style" w:hAnsi="Bookman Old Style" w:cs="Arial"/>
        </w:rPr>
        <w:t xml:space="preserve"> de 100 </w:t>
      </w:r>
      <w:proofErr w:type="gramStart"/>
      <w:r w:rsidR="00231D92">
        <w:rPr>
          <w:rFonts w:ascii="Bookman Old Style" w:hAnsi="Bookman Old Style" w:cs="Arial"/>
        </w:rPr>
        <w:t xml:space="preserve">kg </w:t>
      </w:r>
      <w:r w:rsidR="00C817B3" w:rsidRPr="0053435A">
        <w:rPr>
          <w:rFonts w:ascii="Bookman Old Style" w:hAnsi="Bookman Old Style" w:cs="Arial"/>
        </w:rPr>
        <w:t xml:space="preserve"> (</w:t>
      </w:r>
      <w:proofErr w:type="gramEnd"/>
      <w:r w:rsidR="00B53627" w:rsidRPr="0053435A">
        <w:rPr>
          <w:rFonts w:ascii="Bookman Old Style" w:hAnsi="Bookman Old Style" w:cs="Arial"/>
        </w:rPr>
        <w:t>113 565</w:t>
      </w:r>
      <w:r w:rsidR="00C817B3" w:rsidRPr="0053435A">
        <w:rPr>
          <w:rFonts w:ascii="Bookman Old Style" w:hAnsi="Bookman Old Style" w:cs="Arial"/>
        </w:rPr>
        <w:t xml:space="preserve"> </w:t>
      </w:r>
      <w:proofErr w:type="spellStart"/>
      <w:r w:rsidR="00C817B3" w:rsidRPr="0053435A">
        <w:rPr>
          <w:rFonts w:ascii="Bookman Old Style" w:hAnsi="Bookman Old Style" w:cs="Arial"/>
        </w:rPr>
        <w:t>tias</w:t>
      </w:r>
      <w:proofErr w:type="spellEnd"/>
      <w:r w:rsidR="00C817B3" w:rsidRPr="0053435A">
        <w:rPr>
          <w:rFonts w:ascii="Bookman Old Style" w:hAnsi="Bookman Old Style" w:cs="Arial"/>
        </w:rPr>
        <w:t xml:space="preserve">) ont été cédés aux membres de GFS dans les 24 villages GFS de régions de Tahoua, Maradi et Zinder. Ainsi, </w:t>
      </w:r>
      <w:r w:rsidR="00B53627" w:rsidRPr="0053435A">
        <w:rPr>
          <w:rFonts w:ascii="Bookman Old Style" w:hAnsi="Bookman Old Style" w:cs="Arial"/>
        </w:rPr>
        <w:t>42</w:t>
      </w:r>
      <w:r w:rsidR="00C817B3" w:rsidRPr="0053435A">
        <w:rPr>
          <w:rFonts w:ascii="Bookman Old Style" w:hAnsi="Bookman Old Style" w:cs="Arial"/>
        </w:rPr>
        <w:t xml:space="preserve">% des vivres ont été distribués dans les villages de la région de </w:t>
      </w:r>
      <w:r w:rsidR="00B53627" w:rsidRPr="0053435A">
        <w:rPr>
          <w:rFonts w:ascii="Bookman Old Style" w:hAnsi="Bookman Old Style" w:cs="Arial"/>
        </w:rPr>
        <w:t xml:space="preserve">Tahoua </w:t>
      </w:r>
      <w:r w:rsidR="005F71DD" w:rsidRPr="0053435A">
        <w:rPr>
          <w:rFonts w:ascii="Bookman Old Style" w:hAnsi="Bookman Old Style" w:cs="Arial"/>
        </w:rPr>
        <w:t xml:space="preserve">suivi de </w:t>
      </w:r>
      <w:r w:rsidR="00B53627" w:rsidRPr="0053435A">
        <w:rPr>
          <w:rFonts w:ascii="Bookman Old Style" w:hAnsi="Bookman Old Style" w:cs="Arial"/>
        </w:rPr>
        <w:t>Maradi</w:t>
      </w:r>
      <w:r w:rsidR="00B53627" w:rsidRPr="0053435A" w:rsidDel="00B53627">
        <w:rPr>
          <w:rFonts w:ascii="Bookman Old Style" w:hAnsi="Bookman Old Style" w:cs="Arial"/>
        </w:rPr>
        <w:t xml:space="preserve"> </w:t>
      </w:r>
      <w:r w:rsidR="005F71DD" w:rsidRPr="0053435A">
        <w:rPr>
          <w:rFonts w:ascii="Bookman Old Style" w:hAnsi="Bookman Old Style" w:cs="Arial"/>
        </w:rPr>
        <w:t>avec (3</w:t>
      </w:r>
      <w:r w:rsidR="00B53627" w:rsidRPr="0053435A">
        <w:rPr>
          <w:rFonts w:ascii="Bookman Old Style" w:hAnsi="Bookman Old Style" w:cs="Arial"/>
        </w:rPr>
        <w:t>1</w:t>
      </w:r>
      <w:r w:rsidR="005F71DD" w:rsidRPr="0053435A">
        <w:rPr>
          <w:rFonts w:ascii="Bookman Old Style" w:hAnsi="Bookman Old Style" w:cs="Arial"/>
        </w:rPr>
        <w:t xml:space="preserve">%). </w:t>
      </w:r>
      <w:r w:rsidR="00206717" w:rsidRPr="0053435A">
        <w:rPr>
          <w:rFonts w:ascii="Bookman Old Style" w:hAnsi="Bookman Old Style" w:cs="Arial"/>
        </w:rPr>
        <w:t xml:space="preserve">Par PDE on constate que c’est à </w:t>
      </w:r>
      <w:r w:rsidR="00B53627" w:rsidRPr="0053435A">
        <w:rPr>
          <w:rFonts w:ascii="Bookman Old Style" w:hAnsi="Bookman Old Style" w:cs="Arial"/>
        </w:rPr>
        <w:t xml:space="preserve">Karofane </w:t>
      </w:r>
      <w:r w:rsidR="00206717" w:rsidRPr="0053435A">
        <w:rPr>
          <w:rFonts w:ascii="Bookman Old Style" w:hAnsi="Bookman Old Style" w:cs="Arial"/>
        </w:rPr>
        <w:t xml:space="preserve">où il y a eu plus de vivres distribués avec </w:t>
      </w:r>
      <w:r w:rsidR="00B53627" w:rsidRPr="0053435A">
        <w:rPr>
          <w:rFonts w:ascii="Bookman Old Style" w:hAnsi="Bookman Old Style" w:cs="Arial"/>
        </w:rPr>
        <w:t xml:space="preserve">22 000 </w:t>
      </w:r>
      <w:proofErr w:type="spellStart"/>
      <w:r w:rsidR="00B53627" w:rsidRPr="0053435A">
        <w:rPr>
          <w:rFonts w:ascii="Bookman Old Style" w:hAnsi="Bookman Old Style" w:cs="Arial"/>
        </w:rPr>
        <w:t>tias</w:t>
      </w:r>
      <w:proofErr w:type="spellEnd"/>
      <w:r w:rsidR="0053435A" w:rsidRPr="0053435A">
        <w:rPr>
          <w:rFonts w:ascii="Bookman Old Style" w:hAnsi="Bookman Old Style" w:cs="Arial"/>
        </w:rPr>
        <w:t xml:space="preserve"> </w:t>
      </w:r>
      <w:r w:rsidR="00B53627" w:rsidRPr="0053435A">
        <w:rPr>
          <w:rFonts w:ascii="Bookman Old Style" w:hAnsi="Bookman Old Style" w:cs="Arial"/>
        </w:rPr>
        <w:t xml:space="preserve">suivi de Tessaoua </w:t>
      </w:r>
      <w:r w:rsidR="00206717" w:rsidRPr="0053435A">
        <w:rPr>
          <w:rFonts w:ascii="Bookman Old Style" w:hAnsi="Bookman Old Style" w:cs="Arial"/>
        </w:rPr>
        <w:t xml:space="preserve">21 393 </w:t>
      </w:r>
      <w:proofErr w:type="spellStart"/>
      <w:r w:rsidR="00206717" w:rsidRPr="0053435A">
        <w:rPr>
          <w:rFonts w:ascii="Bookman Old Style" w:hAnsi="Bookman Old Style" w:cs="Arial"/>
        </w:rPr>
        <w:t>tias</w:t>
      </w:r>
      <w:proofErr w:type="spellEnd"/>
      <w:r w:rsidR="00206717" w:rsidRPr="0053435A">
        <w:rPr>
          <w:rFonts w:ascii="Bookman Old Style" w:hAnsi="Bookman Old Style" w:cs="Arial"/>
        </w:rPr>
        <w:t xml:space="preserve"> contre 7 220 </w:t>
      </w:r>
      <w:proofErr w:type="spellStart"/>
      <w:r w:rsidR="00206717" w:rsidRPr="0053435A">
        <w:rPr>
          <w:rFonts w:ascii="Bookman Old Style" w:hAnsi="Bookman Old Style" w:cs="Arial"/>
        </w:rPr>
        <w:t>tias</w:t>
      </w:r>
      <w:proofErr w:type="spellEnd"/>
      <w:r w:rsidR="00206717" w:rsidRPr="0053435A">
        <w:rPr>
          <w:rFonts w:ascii="Bookman Old Style" w:hAnsi="Bookman Old Style" w:cs="Arial"/>
        </w:rPr>
        <w:t xml:space="preserve"> à </w:t>
      </w:r>
      <w:proofErr w:type="spellStart"/>
      <w:r w:rsidR="00206717" w:rsidRPr="0053435A">
        <w:rPr>
          <w:rFonts w:ascii="Bookman Old Style" w:hAnsi="Bookman Old Style" w:cs="Arial"/>
        </w:rPr>
        <w:t>Tounfafi</w:t>
      </w:r>
      <w:proofErr w:type="spellEnd"/>
      <w:r w:rsidR="00206717" w:rsidRPr="0053435A">
        <w:rPr>
          <w:rFonts w:ascii="Bookman Old Style" w:hAnsi="Bookman Old Style" w:cs="Arial"/>
        </w:rPr>
        <w:t xml:space="preserve"> (plus petite quantité distribuée).</w:t>
      </w:r>
    </w:p>
    <w:p w14:paraId="79D622B0" w14:textId="77777777" w:rsidR="00B07FF0" w:rsidRPr="0053435A" w:rsidRDefault="00B07FF0" w:rsidP="007B5322">
      <w:pPr>
        <w:tabs>
          <w:tab w:val="left" w:pos="4402"/>
        </w:tabs>
        <w:spacing w:line="276" w:lineRule="auto"/>
        <w:jc w:val="both"/>
        <w:rPr>
          <w:rFonts w:ascii="Bookman Old Style" w:hAnsi="Bookman Old Style" w:cs="Arial"/>
        </w:rPr>
      </w:pPr>
    </w:p>
    <w:p w14:paraId="7E1E2E73" w14:textId="600D127F" w:rsidR="00B53627" w:rsidRDefault="000D4946" w:rsidP="00B4164B">
      <w:pPr>
        <w:pStyle w:val="Lgende"/>
        <w:spacing w:after="0"/>
        <w:rPr>
          <w:rFonts w:ascii="Bookman Old Style" w:hAnsi="Bookman Old Style" w:cs="Arial"/>
        </w:rPr>
      </w:pPr>
      <w:bookmarkStart w:id="40" w:name="_Hlk96427817"/>
      <w:r>
        <w:rPr>
          <w:rFonts w:ascii="Bookman Old Style" w:hAnsi="Bookman Old Style" w:cs="Arial"/>
        </w:rPr>
        <w:t xml:space="preserve">   </w:t>
      </w:r>
      <w:bookmarkStart w:id="41" w:name="_Toc97822384"/>
      <w:r w:rsidR="00B07FF0">
        <w:t xml:space="preserve">Tableau </w:t>
      </w:r>
      <w:fldSimple w:instr=" SEQ Tableau \* ARABIC ">
        <w:r w:rsidR="00275B4D">
          <w:rPr>
            <w:noProof/>
          </w:rPr>
          <w:t>5</w:t>
        </w:r>
      </w:fldSimple>
      <w:r w:rsidR="00B07FF0">
        <w:t> : Quantité des vivres distribués 1</w:t>
      </w:r>
      <w:r w:rsidR="00B07FF0" w:rsidRPr="003D37B5">
        <w:rPr>
          <w:vertAlign w:val="superscript"/>
        </w:rPr>
        <w:t>ère</w:t>
      </w:r>
      <w:r w:rsidR="00B07FF0">
        <w:t xml:space="preserve"> et 2è cession</w:t>
      </w:r>
      <w:bookmarkEnd w:id="41"/>
    </w:p>
    <w:tbl>
      <w:tblPr>
        <w:tblW w:w="8699" w:type="dxa"/>
        <w:jc w:val="center"/>
        <w:tblCellMar>
          <w:left w:w="70" w:type="dxa"/>
          <w:right w:w="70" w:type="dxa"/>
        </w:tblCellMar>
        <w:tblLook w:val="04A0" w:firstRow="1" w:lastRow="0" w:firstColumn="1" w:lastColumn="0" w:noHBand="0" w:noVBand="1"/>
      </w:tblPr>
      <w:tblGrid>
        <w:gridCol w:w="2220"/>
        <w:gridCol w:w="2170"/>
        <w:gridCol w:w="2409"/>
        <w:gridCol w:w="1900"/>
      </w:tblGrid>
      <w:tr w:rsidR="00B53627" w:rsidRPr="00B53627" w14:paraId="769428DB" w14:textId="77777777" w:rsidTr="00B53627">
        <w:trPr>
          <w:trHeight w:val="264"/>
          <w:tblHeader/>
          <w:jc w:val="center"/>
        </w:trPr>
        <w:tc>
          <w:tcPr>
            <w:tcW w:w="2220" w:type="dxa"/>
            <w:tcBorders>
              <w:top w:val="single" w:sz="4" w:space="0" w:color="auto"/>
              <w:left w:val="single" w:sz="4" w:space="0" w:color="auto"/>
              <w:bottom w:val="single" w:sz="4" w:space="0" w:color="auto"/>
              <w:right w:val="single" w:sz="4" w:space="0" w:color="auto"/>
            </w:tcBorders>
            <w:shd w:val="clear" w:color="000000" w:fill="D9E7FD"/>
            <w:noWrap/>
            <w:vAlign w:val="center"/>
            <w:hideMark/>
          </w:tcPr>
          <w:p w14:paraId="4EF737E1" w14:textId="77777777" w:rsidR="00B53627" w:rsidRPr="00B53627" w:rsidRDefault="00B53627" w:rsidP="00B53627">
            <w:pPr>
              <w:jc w:val="center"/>
              <w:rPr>
                <w:rFonts w:ascii="Arial" w:hAnsi="Arial" w:cs="Arial"/>
                <w:b/>
                <w:bCs/>
                <w:color w:val="000000"/>
                <w:sz w:val="20"/>
                <w:szCs w:val="20"/>
              </w:rPr>
            </w:pPr>
            <w:r w:rsidRPr="00B53627">
              <w:rPr>
                <w:rFonts w:ascii="Arial" w:hAnsi="Arial" w:cs="Arial"/>
                <w:b/>
                <w:bCs/>
                <w:color w:val="000000"/>
                <w:sz w:val="20"/>
                <w:szCs w:val="20"/>
              </w:rPr>
              <w:t>Région/PDE</w:t>
            </w:r>
          </w:p>
        </w:tc>
        <w:tc>
          <w:tcPr>
            <w:tcW w:w="2170" w:type="dxa"/>
            <w:tcBorders>
              <w:top w:val="single" w:sz="4" w:space="0" w:color="auto"/>
              <w:left w:val="nil"/>
              <w:bottom w:val="single" w:sz="4" w:space="0" w:color="auto"/>
              <w:right w:val="single" w:sz="4" w:space="0" w:color="auto"/>
            </w:tcBorders>
            <w:shd w:val="clear" w:color="000000" w:fill="D9E7FD"/>
            <w:noWrap/>
            <w:vAlign w:val="center"/>
            <w:hideMark/>
          </w:tcPr>
          <w:p w14:paraId="7D27A4B3" w14:textId="505C8F76" w:rsidR="00B53627" w:rsidRPr="00B53627" w:rsidRDefault="00B53627" w:rsidP="00B53627">
            <w:pPr>
              <w:jc w:val="center"/>
              <w:rPr>
                <w:rFonts w:ascii="Arial" w:hAnsi="Arial" w:cs="Arial"/>
                <w:b/>
                <w:bCs/>
                <w:color w:val="000000"/>
                <w:sz w:val="20"/>
                <w:szCs w:val="20"/>
              </w:rPr>
            </w:pPr>
            <w:r w:rsidRPr="00B53627">
              <w:rPr>
                <w:rFonts w:ascii="Arial" w:hAnsi="Arial" w:cs="Arial"/>
                <w:b/>
                <w:bCs/>
                <w:color w:val="000000"/>
                <w:sz w:val="20"/>
                <w:szCs w:val="20"/>
              </w:rPr>
              <w:t xml:space="preserve">Nbre Sac </w:t>
            </w:r>
            <w:r w:rsidR="00231D92">
              <w:rPr>
                <w:rFonts w:ascii="Arial" w:hAnsi="Arial" w:cs="Arial"/>
                <w:b/>
                <w:bCs/>
                <w:color w:val="000000"/>
                <w:sz w:val="20"/>
                <w:szCs w:val="20"/>
              </w:rPr>
              <w:t xml:space="preserve">100 kg </w:t>
            </w:r>
            <w:r w:rsidRPr="00B53627">
              <w:rPr>
                <w:rFonts w:ascii="Arial" w:hAnsi="Arial" w:cs="Arial"/>
                <w:b/>
                <w:bCs/>
                <w:color w:val="000000"/>
                <w:sz w:val="20"/>
                <w:szCs w:val="20"/>
              </w:rPr>
              <w:t>distribués</w:t>
            </w:r>
          </w:p>
        </w:tc>
        <w:tc>
          <w:tcPr>
            <w:tcW w:w="2409" w:type="dxa"/>
            <w:tcBorders>
              <w:top w:val="single" w:sz="4" w:space="0" w:color="auto"/>
              <w:left w:val="nil"/>
              <w:bottom w:val="single" w:sz="4" w:space="0" w:color="auto"/>
              <w:right w:val="single" w:sz="4" w:space="0" w:color="auto"/>
            </w:tcBorders>
            <w:shd w:val="clear" w:color="000000" w:fill="D9E7FD"/>
            <w:noWrap/>
            <w:vAlign w:val="center"/>
            <w:hideMark/>
          </w:tcPr>
          <w:p w14:paraId="74E671CB" w14:textId="77777777" w:rsidR="00B53627" w:rsidRPr="00B53627" w:rsidRDefault="00B53627" w:rsidP="00B53627">
            <w:pPr>
              <w:jc w:val="center"/>
              <w:rPr>
                <w:rFonts w:ascii="Arial" w:hAnsi="Arial" w:cs="Arial"/>
                <w:b/>
                <w:bCs/>
                <w:color w:val="000000"/>
                <w:sz w:val="20"/>
                <w:szCs w:val="20"/>
              </w:rPr>
            </w:pPr>
            <w:r w:rsidRPr="00B53627">
              <w:rPr>
                <w:rFonts w:ascii="Arial" w:hAnsi="Arial" w:cs="Arial"/>
                <w:b/>
                <w:bCs/>
                <w:color w:val="000000"/>
                <w:sz w:val="20"/>
                <w:szCs w:val="20"/>
              </w:rPr>
              <w:t xml:space="preserve">Nbre </w:t>
            </w:r>
            <w:proofErr w:type="spellStart"/>
            <w:r w:rsidRPr="00B53627">
              <w:rPr>
                <w:rFonts w:ascii="Arial" w:hAnsi="Arial" w:cs="Arial"/>
                <w:b/>
                <w:bCs/>
                <w:color w:val="000000"/>
                <w:sz w:val="20"/>
                <w:szCs w:val="20"/>
              </w:rPr>
              <w:t>Tia</w:t>
            </w:r>
            <w:proofErr w:type="spellEnd"/>
            <w:r w:rsidRPr="00B53627">
              <w:rPr>
                <w:rFonts w:ascii="Arial" w:hAnsi="Arial" w:cs="Arial"/>
                <w:b/>
                <w:bCs/>
                <w:color w:val="000000"/>
                <w:sz w:val="20"/>
                <w:szCs w:val="20"/>
              </w:rPr>
              <w:t xml:space="preserve"> distribuées</w:t>
            </w:r>
          </w:p>
        </w:tc>
        <w:tc>
          <w:tcPr>
            <w:tcW w:w="1900" w:type="dxa"/>
            <w:tcBorders>
              <w:top w:val="single" w:sz="4" w:space="0" w:color="auto"/>
              <w:left w:val="nil"/>
              <w:bottom w:val="single" w:sz="4" w:space="0" w:color="auto"/>
              <w:right w:val="single" w:sz="4" w:space="0" w:color="auto"/>
            </w:tcBorders>
            <w:shd w:val="clear" w:color="000000" w:fill="D9E7FD"/>
            <w:noWrap/>
            <w:vAlign w:val="center"/>
            <w:hideMark/>
          </w:tcPr>
          <w:p w14:paraId="47A861DF" w14:textId="77777777" w:rsidR="00B53627" w:rsidRPr="00B53627" w:rsidRDefault="00B53627" w:rsidP="00B53627">
            <w:pPr>
              <w:jc w:val="center"/>
              <w:rPr>
                <w:rFonts w:ascii="Arial" w:hAnsi="Arial" w:cs="Arial"/>
                <w:b/>
                <w:bCs/>
                <w:color w:val="000000"/>
                <w:sz w:val="20"/>
                <w:szCs w:val="20"/>
              </w:rPr>
            </w:pPr>
            <w:r w:rsidRPr="00B53627">
              <w:rPr>
                <w:rFonts w:ascii="Arial" w:hAnsi="Arial" w:cs="Arial"/>
                <w:b/>
                <w:bCs/>
                <w:color w:val="000000"/>
                <w:sz w:val="20"/>
                <w:szCs w:val="20"/>
              </w:rPr>
              <w:t>Proportion %</w:t>
            </w:r>
          </w:p>
        </w:tc>
      </w:tr>
      <w:tr w:rsidR="00B53627" w:rsidRPr="00B53627" w14:paraId="3B3A5B4F"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000000" w:fill="FDE49B"/>
            <w:noWrap/>
            <w:vAlign w:val="center"/>
            <w:hideMark/>
          </w:tcPr>
          <w:p w14:paraId="49FF6437" w14:textId="77777777" w:rsidR="00B53627" w:rsidRPr="00B53627" w:rsidRDefault="00B53627" w:rsidP="00B53627">
            <w:pPr>
              <w:rPr>
                <w:rFonts w:ascii="Arial" w:hAnsi="Arial" w:cs="Arial"/>
                <w:b/>
                <w:bCs/>
                <w:color w:val="000000"/>
                <w:sz w:val="20"/>
                <w:szCs w:val="20"/>
              </w:rPr>
            </w:pPr>
            <w:r w:rsidRPr="00B53627">
              <w:rPr>
                <w:rFonts w:ascii="Arial" w:hAnsi="Arial" w:cs="Arial"/>
                <w:b/>
                <w:bCs/>
                <w:color w:val="000000"/>
                <w:sz w:val="20"/>
                <w:szCs w:val="20"/>
              </w:rPr>
              <w:t>Maradi</w:t>
            </w:r>
          </w:p>
        </w:tc>
        <w:tc>
          <w:tcPr>
            <w:tcW w:w="2170" w:type="dxa"/>
            <w:tcBorders>
              <w:top w:val="nil"/>
              <w:left w:val="nil"/>
              <w:bottom w:val="single" w:sz="4" w:space="0" w:color="auto"/>
              <w:right w:val="single" w:sz="4" w:space="0" w:color="auto"/>
            </w:tcBorders>
            <w:shd w:val="clear" w:color="000000" w:fill="FDE49B"/>
            <w:noWrap/>
            <w:vAlign w:val="center"/>
            <w:hideMark/>
          </w:tcPr>
          <w:p w14:paraId="65B45BC8" w14:textId="0F9E1018"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1</w:t>
            </w:r>
            <w:r w:rsidR="0053435A">
              <w:rPr>
                <w:rFonts w:ascii="Arial" w:hAnsi="Arial" w:cs="Arial"/>
                <w:b/>
                <w:bCs/>
                <w:color w:val="000000"/>
                <w:sz w:val="20"/>
                <w:szCs w:val="20"/>
              </w:rPr>
              <w:t xml:space="preserve"> </w:t>
            </w:r>
            <w:r w:rsidRPr="00B53627">
              <w:rPr>
                <w:rFonts w:ascii="Arial" w:hAnsi="Arial" w:cs="Arial"/>
                <w:b/>
                <w:bCs/>
                <w:color w:val="000000"/>
                <w:sz w:val="20"/>
                <w:szCs w:val="20"/>
              </w:rPr>
              <w:t>015</w:t>
            </w:r>
          </w:p>
        </w:tc>
        <w:tc>
          <w:tcPr>
            <w:tcW w:w="2409" w:type="dxa"/>
            <w:tcBorders>
              <w:top w:val="nil"/>
              <w:left w:val="nil"/>
              <w:bottom w:val="single" w:sz="4" w:space="0" w:color="auto"/>
              <w:right w:val="single" w:sz="4" w:space="0" w:color="auto"/>
            </w:tcBorders>
            <w:shd w:val="clear" w:color="000000" w:fill="FDE49B"/>
            <w:noWrap/>
            <w:vAlign w:val="center"/>
            <w:hideMark/>
          </w:tcPr>
          <w:p w14:paraId="533204A3" w14:textId="77777777"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35187</w:t>
            </w:r>
          </w:p>
        </w:tc>
        <w:tc>
          <w:tcPr>
            <w:tcW w:w="1900" w:type="dxa"/>
            <w:tcBorders>
              <w:top w:val="nil"/>
              <w:left w:val="nil"/>
              <w:bottom w:val="single" w:sz="4" w:space="0" w:color="auto"/>
              <w:right w:val="single" w:sz="4" w:space="0" w:color="auto"/>
            </w:tcBorders>
            <w:shd w:val="clear" w:color="000000" w:fill="FDE49B"/>
            <w:noWrap/>
            <w:vAlign w:val="center"/>
            <w:hideMark/>
          </w:tcPr>
          <w:p w14:paraId="40E8BA28" w14:textId="77777777"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31%</w:t>
            </w:r>
          </w:p>
        </w:tc>
      </w:tr>
      <w:tr w:rsidR="00B53627" w:rsidRPr="00B53627" w14:paraId="2BD5AAC3"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48CDCA2E" w14:textId="77777777" w:rsidR="00B53627" w:rsidRPr="00B53627" w:rsidRDefault="00B53627" w:rsidP="00B53627">
            <w:pPr>
              <w:ind w:firstLineChars="100" w:firstLine="200"/>
              <w:rPr>
                <w:rFonts w:ascii="Arial" w:hAnsi="Arial" w:cs="Arial"/>
                <w:color w:val="000000"/>
                <w:sz w:val="20"/>
                <w:szCs w:val="20"/>
              </w:rPr>
            </w:pPr>
            <w:proofErr w:type="spellStart"/>
            <w:r w:rsidRPr="00B53627">
              <w:rPr>
                <w:rFonts w:ascii="Arial" w:hAnsi="Arial" w:cs="Arial"/>
                <w:color w:val="000000"/>
                <w:sz w:val="20"/>
                <w:szCs w:val="20"/>
              </w:rPr>
              <w:t>Guidan</w:t>
            </w:r>
            <w:proofErr w:type="spellEnd"/>
            <w:r w:rsidRPr="00B53627">
              <w:rPr>
                <w:rFonts w:ascii="Arial" w:hAnsi="Arial" w:cs="Arial"/>
                <w:color w:val="000000"/>
                <w:sz w:val="20"/>
                <w:szCs w:val="20"/>
              </w:rPr>
              <w:t xml:space="preserve"> </w:t>
            </w:r>
            <w:proofErr w:type="spellStart"/>
            <w:r w:rsidRPr="00B53627">
              <w:rPr>
                <w:rFonts w:ascii="Arial" w:hAnsi="Arial" w:cs="Arial"/>
                <w:color w:val="000000"/>
                <w:sz w:val="20"/>
                <w:szCs w:val="20"/>
              </w:rPr>
              <w:t>Roumdji</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19D21071" w14:textId="7777777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394</w:t>
            </w:r>
          </w:p>
        </w:tc>
        <w:tc>
          <w:tcPr>
            <w:tcW w:w="2409" w:type="dxa"/>
            <w:tcBorders>
              <w:top w:val="nil"/>
              <w:left w:val="nil"/>
              <w:bottom w:val="single" w:sz="4" w:space="0" w:color="auto"/>
              <w:right w:val="single" w:sz="4" w:space="0" w:color="auto"/>
            </w:tcBorders>
            <w:shd w:val="clear" w:color="auto" w:fill="auto"/>
            <w:noWrap/>
            <w:vAlign w:val="center"/>
            <w:hideMark/>
          </w:tcPr>
          <w:p w14:paraId="2ACD8EB4" w14:textId="1A55DB6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13</w:t>
            </w:r>
            <w:r>
              <w:rPr>
                <w:rFonts w:ascii="Arial" w:hAnsi="Arial" w:cs="Arial"/>
                <w:color w:val="000000"/>
                <w:sz w:val="20"/>
                <w:szCs w:val="20"/>
              </w:rPr>
              <w:t xml:space="preserve"> </w:t>
            </w:r>
            <w:r w:rsidRPr="00B53627">
              <w:rPr>
                <w:rFonts w:ascii="Arial" w:hAnsi="Arial" w:cs="Arial"/>
                <w:color w:val="000000"/>
                <w:sz w:val="20"/>
                <w:szCs w:val="20"/>
              </w:rPr>
              <w:t>794</w:t>
            </w:r>
          </w:p>
        </w:tc>
        <w:tc>
          <w:tcPr>
            <w:tcW w:w="1900" w:type="dxa"/>
            <w:tcBorders>
              <w:top w:val="nil"/>
              <w:left w:val="nil"/>
              <w:bottom w:val="single" w:sz="4" w:space="0" w:color="auto"/>
              <w:right w:val="single" w:sz="4" w:space="0" w:color="auto"/>
            </w:tcBorders>
            <w:shd w:val="clear" w:color="auto" w:fill="auto"/>
            <w:noWrap/>
            <w:vAlign w:val="center"/>
            <w:hideMark/>
          </w:tcPr>
          <w:p w14:paraId="2AE84617" w14:textId="77777777" w:rsidR="00B53627" w:rsidRPr="00B53627" w:rsidRDefault="00B53627" w:rsidP="00B53627">
            <w:pPr>
              <w:jc w:val="center"/>
              <w:rPr>
                <w:rFonts w:ascii="Arial" w:hAnsi="Arial" w:cs="Arial"/>
                <w:color w:val="000000"/>
                <w:sz w:val="20"/>
                <w:szCs w:val="20"/>
              </w:rPr>
            </w:pPr>
            <w:r w:rsidRPr="00B53627">
              <w:rPr>
                <w:rFonts w:ascii="Arial" w:hAnsi="Arial" w:cs="Arial"/>
                <w:color w:val="000000"/>
                <w:sz w:val="20"/>
                <w:szCs w:val="20"/>
              </w:rPr>
              <w:t>39%</w:t>
            </w:r>
          </w:p>
        </w:tc>
      </w:tr>
      <w:tr w:rsidR="00B53627" w:rsidRPr="00B53627" w14:paraId="64A83691"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3F04BC7A" w14:textId="77777777" w:rsidR="00B53627" w:rsidRPr="00B53627" w:rsidRDefault="00B53627" w:rsidP="00B53627">
            <w:pPr>
              <w:ind w:firstLineChars="100" w:firstLine="200"/>
              <w:rPr>
                <w:rFonts w:ascii="Arial" w:hAnsi="Arial" w:cs="Arial"/>
                <w:color w:val="000000"/>
                <w:sz w:val="20"/>
                <w:szCs w:val="20"/>
              </w:rPr>
            </w:pPr>
            <w:r w:rsidRPr="00B53627">
              <w:rPr>
                <w:rFonts w:ascii="Arial" w:hAnsi="Arial" w:cs="Arial"/>
                <w:color w:val="000000"/>
                <w:sz w:val="20"/>
                <w:szCs w:val="20"/>
              </w:rPr>
              <w:t>Tessaoua</w:t>
            </w:r>
          </w:p>
        </w:tc>
        <w:tc>
          <w:tcPr>
            <w:tcW w:w="2170" w:type="dxa"/>
            <w:tcBorders>
              <w:top w:val="nil"/>
              <w:left w:val="nil"/>
              <w:bottom w:val="single" w:sz="4" w:space="0" w:color="auto"/>
              <w:right w:val="single" w:sz="4" w:space="0" w:color="auto"/>
            </w:tcBorders>
            <w:shd w:val="clear" w:color="auto" w:fill="auto"/>
            <w:noWrap/>
            <w:vAlign w:val="center"/>
            <w:hideMark/>
          </w:tcPr>
          <w:p w14:paraId="33BF72A8" w14:textId="7777777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621</w:t>
            </w:r>
          </w:p>
        </w:tc>
        <w:tc>
          <w:tcPr>
            <w:tcW w:w="2409" w:type="dxa"/>
            <w:tcBorders>
              <w:top w:val="nil"/>
              <w:left w:val="nil"/>
              <w:bottom w:val="single" w:sz="4" w:space="0" w:color="auto"/>
              <w:right w:val="single" w:sz="4" w:space="0" w:color="auto"/>
            </w:tcBorders>
            <w:shd w:val="clear" w:color="auto" w:fill="auto"/>
            <w:noWrap/>
            <w:vAlign w:val="center"/>
            <w:hideMark/>
          </w:tcPr>
          <w:p w14:paraId="529E64CE" w14:textId="3FCC3150"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21</w:t>
            </w:r>
            <w:r>
              <w:rPr>
                <w:rFonts w:ascii="Arial" w:hAnsi="Arial" w:cs="Arial"/>
                <w:color w:val="000000"/>
                <w:sz w:val="20"/>
                <w:szCs w:val="20"/>
              </w:rPr>
              <w:t xml:space="preserve"> </w:t>
            </w:r>
            <w:r w:rsidRPr="00B53627">
              <w:rPr>
                <w:rFonts w:ascii="Arial" w:hAnsi="Arial" w:cs="Arial"/>
                <w:color w:val="000000"/>
                <w:sz w:val="20"/>
                <w:szCs w:val="20"/>
              </w:rPr>
              <w:t>393</w:t>
            </w:r>
          </w:p>
        </w:tc>
        <w:tc>
          <w:tcPr>
            <w:tcW w:w="1900" w:type="dxa"/>
            <w:tcBorders>
              <w:top w:val="nil"/>
              <w:left w:val="nil"/>
              <w:bottom w:val="single" w:sz="4" w:space="0" w:color="auto"/>
              <w:right w:val="single" w:sz="4" w:space="0" w:color="auto"/>
            </w:tcBorders>
            <w:shd w:val="clear" w:color="auto" w:fill="auto"/>
            <w:noWrap/>
            <w:vAlign w:val="center"/>
            <w:hideMark/>
          </w:tcPr>
          <w:p w14:paraId="218E2182" w14:textId="77777777" w:rsidR="00B53627" w:rsidRPr="00B53627" w:rsidRDefault="00B53627" w:rsidP="00B53627">
            <w:pPr>
              <w:jc w:val="center"/>
              <w:rPr>
                <w:rFonts w:ascii="Arial" w:hAnsi="Arial" w:cs="Arial"/>
                <w:color w:val="000000"/>
                <w:sz w:val="20"/>
                <w:szCs w:val="20"/>
              </w:rPr>
            </w:pPr>
            <w:r w:rsidRPr="00B53627">
              <w:rPr>
                <w:rFonts w:ascii="Arial" w:hAnsi="Arial" w:cs="Arial"/>
                <w:color w:val="000000"/>
                <w:sz w:val="20"/>
                <w:szCs w:val="20"/>
              </w:rPr>
              <w:t>61%</w:t>
            </w:r>
          </w:p>
        </w:tc>
      </w:tr>
      <w:tr w:rsidR="00B53627" w:rsidRPr="00B53627" w14:paraId="77688014"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000000" w:fill="FDE49B"/>
            <w:noWrap/>
            <w:vAlign w:val="center"/>
            <w:hideMark/>
          </w:tcPr>
          <w:p w14:paraId="24423750" w14:textId="77777777" w:rsidR="00B53627" w:rsidRPr="00B53627" w:rsidRDefault="00B53627" w:rsidP="00B53627">
            <w:pPr>
              <w:rPr>
                <w:rFonts w:ascii="Arial" w:hAnsi="Arial" w:cs="Arial"/>
                <w:b/>
                <w:bCs/>
                <w:color w:val="000000"/>
                <w:sz w:val="20"/>
                <w:szCs w:val="20"/>
              </w:rPr>
            </w:pPr>
            <w:r w:rsidRPr="00B53627">
              <w:rPr>
                <w:rFonts w:ascii="Arial" w:hAnsi="Arial" w:cs="Arial"/>
                <w:b/>
                <w:bCs/>
                <w:color w:val="000000"/>
                <w:sz w:val="20"/>
                <w:szCs w:val="20"/>
              </w:rPr>
              <w:t>Tahoua</w:t>
            </w:r>
          </w:p>
        </w:tc>
        <w:tc>
          <w:tcPr>
            <w:tcW w:w="2170" w:type="dxa"/>
            <w:tcBorders>
              <w:top w:val="nil"/>
              <w:left w:val="nil"/>
              <w:bottom w:val="single" w:sz="4" w:space="0" w:color="auto"/>
              <w:right w:val="single" w:sz="4" w:space="0" w:color="auto"/>
            </w:tcBorders>
            <w:shd w:val="clear" w:color="000000" w:fill="FDE49B"/>
            <w:noWrap/>
            <w:vAlign w:val="center"/>
            <w:hideMark/>
          </w:tcPr>
          <w:p w14:paraId="1B50BB5A" w14:textId="301D6821"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1</w:t>
            </w:r>
            <w:r w:rsidR="0053435A">
              <w:rPr>
                <w:rFonts w:ascii="Arial" w:hAnsi="Arial" w:cs="Arial"/>
                <w:b/>
                <w:bCs/>
                <w:color w:val="000000"/>
                <w:sz w:val="20"/>
                <w:szCs w:val="20"/>
              </w:rPr>
              <w:t xml:space="preserve"> </w:t>
            </w:r>
            <w:r w:rsidRPr="00B53627">
              <w:rPr>
                <w:rFonts w:ascii="Arial" w:hAnsi="Arial" w:cs="Arial"/>
                <w:b/>
                <w:bCs/>
                <w:color w:val="000000"/>
                <w:sz w:val="20"/>
                <w:szCs w:val="20"/>
              </w:rPr>
              <w:t>642</w:t>
            </w:r>
          </w:p>
        </w:tc>
        <w:tc>
          <w:tcPr>
            <w:tcW w:w="2409" w:type="dxa"/>
            <w:tcBorders>
              <w:top w:val="nil"/>
              <w:left w:val="nil"/>
              <w:bottom w:val="single" w:sz="4" w:space="0" w:color="auto"/>
              <w:right w:val="single" w:sz="4" w:space="0" w:color="auto"/>
            </w:tcBorders>
            <w:shd w:val="clear" w:color="000000" w:fill="FDE49B"/>
            <w:noWrap/>
            <w:vAlign w:val="center"/>
            <w:hideMark/>
          </w:tcPr>
          <w:p w14:paraId="03302385" w14:textId="77777777"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47380</w:t>
            </w:r>
          </w:p>
        </w:tc>
        <w:tc>
          <w:tcPr>
            <w:tcW w:w="1900" w:type="dxa"/>
            <w:tcBorders>
              <w:top w:val="nil"/>
              <w:left w:val="nil"/>
              <w:bottom w:val="single" w:sz="4" w:space="0" w:color="auto"/>
              <w:right w:val="single" w:sz="4" w:space="0" w:color="auto"/>
            </w:tcBorders>
            <w:shd w:val="clear" w:color="000000" w:fill="FDE49B"/>
            <w:noWrap/>
            <w:vAlign w:val="center"/>
            <w:hideMark/>
          </w:tcPr>
          <w:p w14:paraId="68CF6527" w14:textId="77777777"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42%</w:t>
            </w:r>
          </w:p>
        </w:tc>
      </w:tr>
      <w:tr w:rsidR="00B53627" w:rsidRPr="00B53627" w14:paraId="7E837DED"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7F067A38" w14:textId="77777777" w:rsidR="00B53627" w:rsidRPr="00B53627" w:rsidRDefault="00B53627" w:rsidP="00B53627">
            <w:pPr>
              <w:ind w:firstLineChars="100" w:firstLine="200"/>
              <w:rPr>
                <w:rFonts w:ascii="Arial" w:hAnsi="Arial" w:cs="Arial"/>
                <w:color w:val="000000"/>
                <w:sz w:val="20"/>
                <w:szCs w:val="20"/>
              </w:rPr>
            </w:pPr>
            <w:proofErr w:type="spellStart"/>
            <w:r w:rsidRPr="00B53627">
              <w:rPr>
                <w:rFonts w:ascii="Arial" w:hAnsi="Arial" w:cs="Arial"/>
                <w:color w:val="000000"/>
                <w:sz w:val="20"/>
                <w:szCs w:val="20"/>
              </w:rPr>
              <w:t>Badaguichiri</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368BB965" w14:textId="7777777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454</w:t>
            </w:r>
          </w:p>
        </w:tc>
        <w:tc>
          <w:tcPr>
            <w:tcW w:w="2409" w:type="dxa"/>
            <w:tcBorders>
              <w:top w:val="nil"/>
              <w:left w:val="nil"/>
              <w:bottom w:val="single" w:sz="4" w:space="0" w:color="auto"/>
              <w:right w:val="single" w:sz="4" w:space="0" w:color="auto"/>
            </w:tcBorders>
            <w:shd w:val="clear" w:color="auto" w:fill="auto"/>
            <w:noWrap/>
            <w:vAlign w:val="center"/>
            <w:hideMark/>
          </w:tcPr>
          <w:p w14:paraId="295425B2" w14:textId="515484DC"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18</w:t>
            </w:r>
            <w:r>
              <w:rPr>
                <w:rFonts w:ascii="Arial" w:hAnsi="Arial" w:cs="Arial"/>
                <w:color w:val="000000"/>
                <w:sz w:val="20"/>
                <w:szCs w:val="20"/>
              </w:rPr>
              <w:t xml:space="preserve"> </w:t>
            </w:r>
            <w:r w:rsidRPr="00B53627">
              <w:rPr>
                <w:rFonts w:ascii="Arial" w:hAnsi="Arial" w:cs="Arial"/>
                <w:color w:val="000000"/>
                <w:sz w:val="20"/>
                <w:szCs w:val="20"/>
              </w:rPr>
              <w:t>160</w:t>
            </w:r>
          </w:p>
        </w:tc>
        <w:tc>
          <w:tcPr>
            <w:tcW w:w="1900" w:type="dxa"/>
            <w:tcBorders>
              <w:top w:val="nil"/>
              <w:left w:val="nil"/>
              <w:bottom w:val="single" w:sz="4" w:space="0" w:color="auto"/>
              <w:right w:val="single" w:sz="4" w:space="0" w:color="auto"/>
            </w:tcBorders>
            <w:shd w:val="clear" w:color="auto" w:fill="auto"/>
            <w:noWrap/>
            <w:vAlign w:val="center"/>
            <w:hideMark/>
          </w:tcPr>
          <w:p w14:paraId="1C36D484" w14:textId="77777777" w:rsidR="00B53627" w:rsidRPr="00B53627" w:rsidRDefault="00B53627" w:rsidP="00B53627">
            <w:pPr>
              <w:jc w:val="center"/>
              <w:rPr>
                <w:rFonts w:ascii="Arial" w:hAnsi="Arial" w:cs="Arial"/>
                <w:color w:val="000000"/>
                <w:sz w:val="20"/>
                <w:szCs w:val="20"/>
              </w:rPr>
            </w:pPr>
            <w:r w:rsidRPr="00B53627">
              <w:rPr>
                <w:rFonts w:ascii="Arial" w:hAnsi="Arial" w:cs="Arial"/>
                <w:color w:val="000000"/>
                <w:sz w:val="20"/>
                <w:szCs w:val="20"/>
              </w:rPr>
              <w:t>38%</w:t>
            </w:r>
          </w:p>
        </w:tc>
      </w:tr>
      <w:tr w:rsidR="00B53627" w:rsidRPr="00B53627" w14:paraId="780D1C30"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1582F339" w14:textId="77777777" w:rsidR="00B53627" w:rsidRPr="00B53627" w:rsidRDefault="00B53627" w:rsidP="00B53627">
            <w:pPr>
              <w:ind w:firstLineChars="100" w:firstLine="200"/>
              <w:rPr>
                <w:rFonts w:ascii="Arial" w:hAnsi="Arial" w:cs="Arial"/>
                <w:color w:val="000000"/>
                <w:sz w:val="20"/>
                <w:szCs w:val="20"/>
              </w:rPr>
            </w:pPr>
            <w:r w:rsidRPr="00B53627">
              <w:rPr>
                <w:rFonts w:ascii="Arial" w:hAnsi="Arial" w:cs="Arial"/>
                <w:color w:val="000000"/>
                <w:sz w:val="20"/>
                <w:szCs w:val="20"/>
              </w:rPr>
              <w:t>Karofane</w:t>
            </w:r>
          </w:p>
        </w:tc>
        <w:tc>
          <w:tcPr>
            <w:tcW w:w="2170" w:type="dxa"/>
            <w:tcBorders>
              <w:top w:val="nil"/>
              <w:left w:val="nil"/>
              <w:bottom w:val="single" w:sz="4" w:space="0" w:color="auto"/>
              <w:right w:val="single" w:sz="4" w:space="0" w:color="auto"/>
            </w:tcBorders>
            <w:shd w:val="clear" w:color="auto" w:fill="auto"/>
            <w:noWrap/>
            <w:vAlign w:val="center"/>
            <w:hideMark/>
          </w:tcPr>
          <w:p w14:paraId="5BB98A94" w14:textId="7777777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940</w:t>
            </w:r>
          </w:p>
        </w:tc>
        <w:tc>
          <w:tcPr>
            <w:tcW w:w="2409" w:type="dxa"/>
            <w:tcBorders>
              <w:top w:val="nil"/>
              <w:left w:val="nil"/>
              <w:bottom w:val="single" w:sz="4" w:space="0" w:color="auto"/>
              <w:right w:val="single" w:sz="4" w:space="0" w:color="auto"/>
            </w:tcBorders>
            <w:shd w:val="clear" w:color="auto" w:fill="auto"/>
            <w:noWrap/>
            <w:vAlign w:val="center"/>
            <w:hideMark/>
          </w:tcPr>
          <w:p w14:paraId="7806246E" w14:textId="23D02D4E"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22</w:t>
            </w:r>
            <w:r>
              <w:rPr>
                <w:rFonts w:ascii="Arial" w:hAnsi="Arial" w:cs="Arial"/>
                <w:color w:val="000000"/>
                <w:sz w:val="20"/>
                <w:szCs w:val="20"/>
              </w:rPr>
              <w:t xml:space="preserve"> </w:t>
            </w:r>
            <w:r w:rsidRPr="00B53627">
              <w:rPr>
                <w:rFonts w:ascii="Arial" w:hAnsi="Arial" w:cs="Arial"/>
                <w:color w:val="000000"/>
                <w:sz w:val="20"/>
                <w:szCs w:val="20"/>
              </w:rPr>
              <w:t>000</w:t>
            </w:r>
          </w:p>
        </w:tc>
        <w:tc>
          <w:tcPr>
            <w:tcW w:w="1900" w:type="dxa"/>
            <w:tcBorders>
              <w:top w:val="nil"/>
              <w:left w:val="nil"/>
              <w:bottom w:val="single" w:sz="4" w:space="0" w:color="auto"/>
              <w:right w:val="single" w:sz="4" w:space="0" w:color="auto"/>
            </w:tcBorders>
            <w:shd w:val="clear" w:color="auto" w:fill="auto"/>
            <w:noWrap/>
            <w:vAlign w:val="center"/>
            <w:hideMark/>
          </w:tcPr>
          <w:p w14:paraId="1EB099E8" w14:textId="77777777" w:rsidR="00B53627" w:rsidRPr="00B53627" w:rsidRDefault="00B53627" w:rsidP="00B53627">
            <w:pPr>
              <w:jc w:val="center"/>
              <w:rPr>
                <w:rFonts w:ascii="Arial" w:hAnsi="Arial" w:cs="Arial"/>
                <w:color w:val="000000"/>
                <w:sz w:val="20"/>
                <w:szCs w:val="20"/>
              </w:rPr>
            </w:pPr>
            <w:r w:rsidRPr="00B53627">
              <w:rPr>
                <w:rFonts w:ascii="Arial" w:hAnsi="Arial" w:cs="Arial"/>
                <w:color w:val="000000"/>
                <w:sz w:val="20"/>
                <w:szCs w:val="20"/>
              </w:rPr>
              <w:t>46%</w:t>
            </w:r>
          </w:p>
        </w:tc>
      </w:tr>
      <w:tr w:rsidR="00B53627" w:rsidRPr="00B53627" w14:paraId="46F51355"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29FF6582" w14:textId="77777777" w:rsidR="00B53627" w:rsidRPr="00B53627" w:rsidRDefault="00B53627" w:rsidP="00B53627">
            <w:pPr>
              <w:ind w:firstLineChars="100" w:firstLine="200"/>
              <w:rPr>
                <w:rFonts w:ascii="Arial" w:hAnsi="Arial" w:cs="Arial"/>
                <w:color w:val="000000"/>
                <w:sz w:val="20"/>
                <w:szCs w:val="20"/>
              </w:rPr>
            </w:pPr>
            <w:r w:rsidRPr="00B53627">
              <w:rPr>
                <w:rFonts w:ascii="Arial" w:hAnsi="Arial" w:cs="Arial"/>
                <w:color w:val="000000"/>
                <w:sz w:val="20"/>
                <w:szCs w:val="20"/>
              </w:rPr>
              <w:t>Tounfafi</w:t>
            </w:r>
          </w:p>
        </w:tc>
        <w:tc>
          <w:tcPr>
            <w:tcW w:w="2170" w:type="dxa"/>
            <w:tcBorders>
              <w:top w:val="nil"/>
              <w:left w:val="nil"/>
              <w:bottom w:val="single" w:sz="4" w:space="0" w:color="auto"/>
              <w:right w:val="single" w:sz="4" w:space="0" w:color="auto"/>
            </w:tcBorders>
            <w:shd w:val="clear" w:color="auto" w:fill="auto"/>
            <w:noWrap/>
            <w:vAlign w:val="center"/>
            <w:hideMark/>
          </w:tcPr>
          <w:p w14:paraId="45E600AC" w14:textId="7777777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248</w:t>
            </w:r>
          </w:p>
        </w:tc>
        <w:tc>
          <w:tcPr>
            <w:tcW w:w="2409" w:type="dxa"/>
            <w:tcBorders>
              <w:top w:val="nil"/>
              <w:left w:val="nil"/>
              <w:bottom w:val="single" w:sz="4" w:space="0" w:color="auto"/>
              <w:right w:val="single" w:sz="4" w:space="0" w:color="auto"/>
            </w:tcBorders>
            <w:shd w:val="clear" w:color="auto" w:fill="auto"/>
            <w:noWrap/>
            <w:vAlign w:val="center"/>
            <w:hideMark/>
          </w:tcPr>
          <w:p w14:paraId="23B49529" w14:textId="0B9A8341"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7</w:t>
            </w:r>
            <w:r>
              <w:rPr>
                <w:rFonts w:ascii="Arial" w:hAnsi="Arial" w:cs="Arial"/>
                <w:color w:val="000000"/>
                <w:sz w:val="20"/>
                <w:szCs w:val="20"/>
              </w:rPr>
              <w:t xml:space="preserve"> </w:t>
            </w:r>
            <w:r w:rsidRPr="00B53627">
              <w:rPr>
                <w:rFonts w:ascii="Arial" w:hAnsi="Arial" w:cs="Arial"/>
                <w:color w:val="000000"/>
                <w:sz w:val="20"/>
                <w:szCs w:val="20"/>
              </w:rPr>
              <w:t>220</w:t>
            </w:r>
          </w:p>
        </w:tc>
        <w:tc>
          <w:tcPr>
            <w:tcW w:w="1900" w:type="dxa"/>
            <w:tcBorders>
              <w:top w:val="nil"/>
              <w:left w:val="nil"/>
              <w:bottom w:val="single" w:sz="4" w:space="0" w:color="auto"/>
              <w:right w:val="single" w:sz="4" w:space="0" w:color="auto"/>
            </w:tcBorders>
            <w:shd w:val="clear" w:color="auto" w:fill="auto"/>
            <w:noWrap/>
            <w:vAlign w:val="center"/>
            <w:hideMark/>
          </w:tcPr>
          <w:p w14:paraId="61CB1518" w14:textId="77777777" w:rsidR="00B53627" w:rsidRPr="00B53627" w:rsidRDefault="00B53627" w:rsidP="00B53627">
            <w:pPr>
              <w:jc w:val="center"/>
              <w:rPr>
                <w:rFonts w:ascii="Arial" w:hAnsi="Arial" w:cs="Arial"/>
                <w:color w:val="000000"/>
                <w:sz w:val="20"/>
                <w:szCs w:val="20"/>
              </w:rPr>
            </w:pPr>
            <w:r w:rsidRPr="00B53627">
              <w:rPr>
                <w:rFonts w:ascii="Arial" w:hAnsi="Arial" w:cs="Arial"/>
                <w:color w:val="000000"/>
                <w:sz w:val="20"/>
                <w:szCs w:val="20"/>
              </w:rPr>
              <w:t>15%</w:t>
            </w:r>
          </w:p>
        </w:tc>
      </w:tr>
      <w:tr w:rsidR="00B53627" w:rsidRPr="00B53627" w14:paraId="499B4BAC"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000000" w:fill="FDE49B"/>
            <w:noWrap/>
            <w:vAlign w:val="center"/>
            <w:hideMark/>
          </w:tcPr>
          <w:p w14:paraId="42F38702" w14:textId="77777777" w:rsidR="00B53627" w:rsidRPr="00B53627" w:rsidRDefault="00B53627" w:rsidP="00B53627">
            <w:pPr>
              <w:rPr>
                <w:rFonts w:ascii="Arial" w:hAnsi="Arial" w:cs="Arial"/>
                <w:b/>
                <w:bCs/>
                <w:color w:val="000000"/>
                <w:sz w:val="20"/>
                <w:szCs w:val="20"/>
              </w:rPr>
            </w:pPr>
            <w:r w:rsidRPr="00B53627">
              <w:rPr>
                <w:rFonts w:ascii="Arial" w:hAnsi="Arial" w:cs="Arial"/>
                <w:b/>
                <w:bCs/>
                <w:color w:val="000000"/>
                <w:sz w:val="20"/>
                <w:szCs w:val="20"/>
              </w:rPr>
              <w:t>Zinder</w:t>
            </w:r>
          </w:p>
        </w:tc>
        <w:tc>
          <w:tcPr>
            <w:tcW w:w="2170" w:type="dxa"/>
            <w:tcBorders>
              <w:top w:val="nil"/>
              <w:left w:val="nil"/>
              <w:bottom w:val="single" w:sz="4" w:space="0" w:color="auto"/>
              <w:right w:val="single" w:sz="4" w:space="0" w:color="auto"/>
            </w:tcBorders>
            <w:shd w:val="clear" w:color="000000" w:fill="FDE49B"/>
            <w:noWrap/>
            <w:vAlign w:val="center"/>
            <w:hideMark/>
          </w:tcPr>
          <w:p w14:paraId="138F3D7B" w14:textId="77777777"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921</w:t>
            </w:r>
          </w:p>
        </w:tc>
        <w:tc>
          <w:tcPr>
            <w:tcW w:w="2409" w:type="dxa"/>
            <w:tcBorders>
              <w:top w:val="nil"/>
              <w:left w:val="nil"/>
              <w:bottom w:val="single" w:sz="4" w:space="0" w:color="auto"/>
              <w:right w:val="single" w:sz="4" w:space="0" w:color="auto"/>
            </w:tcBorders>
            <w:shd w:val="clear" w:color="000000" w:fill="FDE49B"/>
            <w:noWrap/>
            <w:vAlign w:val="center"/>
            <w:hideMark/>
          </w:tcPr>
          <w:p w14:paraId="793664C8" w14:textId="77777777"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30998</w:t>
            </w:r>
          </w:p>
        </w:tc>
        <w:tc>
          <w:tcPr>
            <w:tcW w:w="1900" w:type="dxa"/>
            <w:tcBorders>
              <w:top w:val="nil"/>
              <w:left w:val="nil"/>
              <w:bottom w:val="single" w:sz="4" w:space="0" w:color="auto"/>
              <w:right w:val="single" w:sz="4" w:space="0" w:color="auto"/>
            </w:tcBorders>
            <w:shd w:val="clear" w:color="000000" w:fill="FDE49B"/>
            <w:noWrap/>
            <w:vAlign w:val="center"/>
            <w:hideMark/>
          </w:tcPr>
          <w:p w14:paraId="36C54956" w14:textId="77777777"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27%</w:t>
            </w:r>
          </w:p>
        </w:tc>
      </w:tr>
      <w:tr w:rsidR="00B53627" w:rsidRPr="00B53627" w14:paraId="79070278"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65B2E0BF" w14:textId="77777777" w:rsidR="00B53627" w:rsidRPr="00B53627" w:rsidRDefault="00B53627" w:rsidP="00B53627">
            <w:pPr>
              <w:ind w:firstLineChars="100" w:firstLine="200"/>
              <w:rPr>
                <w:rFonts w:ascii="Arial" w:hAnsi="Arial" w:cs="Arial"/>
                <w:color w:val="000000"/>
                <w:sz w:val="20"/>
                <w:szCs w:val="20"/>
              </w:rPr>
            </w:pPr>
            <w:r w:rsidRPr="00B53627">
              <w:rPr>
                <w:rFonts w:ascii="Arial" w:hAnsi="Arial" w:cs="Arial"/>
                <w:color w:val="000000"/>
                <w:sz w:val="20"/>
                <w:szCs w:val="20"/>
              </w:rPr>
              <w:t>Bande</w:t>
            </w:r>
          </w:p>
        </w:tc>
        <w:tc>
          <w:tcPr>
            <w:tcW w:w="2170" w:type="dxa"/>
            <w:tcBorders>
              <w:top w:val="nil"/>
              <w:left w:val="nil"/>
              <w:bottom w:val="single" w:sz="4" w:space="0" w:color="auto"/>
              <w:right w:val="single" w:sz="4" w:space="0" w:color="auto"/>
            </w:tcBorders>
            <w:shd w:val="clear" w:color="auto" w:fill="auto"/>
            <w:noWrap/>
            <w:vAlign w:val="center"/>
            <w:hideMark/>
          </w:tcPr>
          <w:p w14:paraId="1A64E25F" w14:textId="7777777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239</w:t>
            </w:r>
          </w:p>
        </w:tc>
        <w:tc>
          <w:tcPr>
            <w:tcW w:w="2409" w:type="dxa"/>
            <w:tcBorders>
              <w:top w:val="nil"/>
              <w:left w:val="nil"/>
              <w:bottom w:val="single" w:sz="4" w:space="0" w:color="auto"/>
              <w:right w:val="single" w:sz="4" w:space="0" w:color="auto"/>
            </w:tcBorders>
            <w:shd w:val="clear" w:color="auto" w:fill="auto"/>
            <w:noWrap/>
            <w:vAlign w:val="center"/>
            <w:hideMark/>
          </w:tcPr>
          <w:p w14:paraId="2B4D07F7" w14:textId="1017BFEB"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8</w:t>
            </w:r>
            <w:r>
              <w:rPr>
                <w:rFonts w:ascii="Arial" w:hAnsi="Arial" w:cs="Arial"/>
                <w:color w:val="000000"/>
                <w:sz w:val="20"/>
                <w:szCs w:val="20"/>
              </w:rPr>
              <w:t xml:space="preserve"> </w:t>
            </w:r>
            <w:r w:rsidRPr="00B53627">
              <w:rPr>
                <w:rFonts w:ascii="Arial" w:hAnsi="Arial" w:cs="Arial"/>
                <w:color w:val="000000"/>
                <w:sz w:val="20"/>
                <w:szCs w:val="20"/>
              </w:rPr>
              <w:t>133</w:t>
            </w:r>
          </w:p>
        </w:tc>
        <w:tc>
          <w:tcPr>
            <w:tcW w:w="1900" w:type="dxa"/>
            <w:tcBorders>
              <w:top w:val="nil"/>
              <w:left w:val="nil"/>
              <w:bottom w:val="single" w:sz="4" w:space="0" w:color="auto"/>
              <w:right w:val="single" w:sz="4" w:space="0" w:color="auto"/>
            </w:tcBorders>
            <w:shd w:val="clear" w:color="auto" w:fill="auto"/>
            <w:noWrap/>
            <w:vAlign w:val="center"/>
            <w:hideMark/>
          </w:tcPr>
          <w:p w14:paraId="45376413" w14:textId="77777777" w:rsidR="00B53627" w:rsidRPr="00B53627" w:rsidRDefault="00B53627" w:rsidP="00B53627">
            <w:pPr>
              <w:jc w:val="center"/>
              <w:rPr>
                <w:rFonts w:ascii="Arial" w:hAnsi="Arial" w:cs="Arial"/>
                <w:color w:val="000000"/>
                <w:sz w:val="20"/>
                <w:szCs w:val="20"/>
              </w:rPr>
            </w:pPr>
            <w:r w:rsidRPr="00B53627">
              <w:rPr>
                <w:rFonts w:ascii="Arial" w:hAnsi="Arial" w:cs="Arial"/>
                <w:color w:val="000000"/>
                <w:sz w:val="20"/>
                <w:szCs w:val="20"/>
              </w:rPr>
              <w:t>26%</w:t>
            </w:r>
          </w:p>
        </w:tc>
      </w:tr>
      <w:tr w:rsidR="00B53627" w:rsidRPr="00B53627" w14:paraId="497C2583"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1CF6A012" w14:textId="77777777" w:rsidR="00B53627" w:rsidRPr="00B53627" w:rsidRDefault="00B53627" w:rsidP="00B53627">
            <w:pPr>
              <w:ind w:firstLineChars="100" w:firstLine="200"/>
              <w:rPr>
                <w:rFonts w:ascii="Arial" w:hAnsi="Arial" w:cs="Arial"/>
                <w:color w:val="000000"/>
                <w:sz w:val="20"/>
                <w:szCs w:val="20"/>
              </w:rPr>
            </w:pPr>
            <w:r w:rsidRPr="00B53627">
              <w:rPr>
                <w:rFonts w:ascii="Arial" w:hAnsi="Arial" w:cs="Arial"/>
                <w:color w:val="000000"/>
                <w:sz w:val="20"/>
                <w:szCs w:val="20"/>
              </w:rPr>
              <w:t>Doungou</w:t>
            </w:r>
          </w:p>
        </w:tc>
        <w:tc>
          <w:tcPr>
            <w:tcW w:w="2170" w:type="dxa"/>
            <w:tcBorders>
              <w:top w:val="nil"/>
              <w:left w:val="nil"/>
              <w:bottom w:val="single" w:sz="4" w:space="0" w:color="auto"/>
              <w:right w:val="single" w:sz="4" w:space="0" w:color="auto"/>
            </w:tcBorders>
            <w:shd w:val="clear" w:color="auto" w:fill="auto"/>
            <w:noWrap/>
            <w:vAlign w:val="center"/>
            <w:hideMark/>
          </w:tcPr>
          <w:p w14:paraId="3C678A5C" w14:textId="7777777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464</w:t>
            </w:r>
          </w:p>
        </w:tc>
        <w:tc>
          <w:tcPr>
            <w:tcW w:w="2409" w:type="dxa"/>
            <w:tcBorders>
              <w:top w:val="nil"/>
              <w:left w:val="nil"/>
              <w:bottom w:val="single" w:sz="4" w:space="0" w:color="auto"/>
              <w:right w:val="single" w:sz="4" w:space="0" w:color="auto"/>
            </w:tcBorders>
            <w:shd w:val="clear" w:color="auto" w:fill="auto"/>
            <w:noWrap/>
            <w:vAlign w:val="center"/>
            <w:hideMark/>
          </w:tcPr>
          <w:p w14:paraId="6B33D19F" w14:textId="54CAE37B"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14</w:t>
            </w:r>
            <w:r>
              <w:rPr>
                <w:rFonts w:ascii="Arial" w:hAnsi="Arial" w:cs="Arial"/>
                <w:color w:val="000000"/>
                <w:sz w:val="20"/>
                <w:szCs w:val="20"/>
              </w:rPr>
              <w:t xml:space="preserve"> </w:t>
            </w:r>
            <w:r w:rsidRPr="00B53627">
              <w:rPr>
                <w:rFonts w:ascii="Arial" w:hAnsi="Arial" w:cs="Arial"/>
                <w:color w:val="000000"/>
                <w:sz w:val="20"/>
                <w:szCs w:val="20"/>
              </w:rPr>
              <w:t>875</w:t>
            </w:r>
          </w:p>
        </w:tc>
        <w:tc>
          <w:tcPr>
            <w:tcW w:w="1900" w:type="dxa"/>
            <w:tcBorders>
              <w:top w:val="nil"/>
              <w:left w:val="nil"/>
              <w:bottom w:val="single" w:sz="4" w:space="0" w:color="auto"/>
              <w:right w:val="single" w:sz="4" w:space="0" w:color="auto"/>
            </w:tcBorders>
            <w:shd w:val="clear" w:color="auto" w:fill="auto"/>
            <w:noWrap/>
            <w:vAlign w:val="center"/>
            <w:hideMark/>
          </w:tcPr>
          <w:p w14:paraId="3DFDB7AC" w14:textId="77777777" w:rsidR="00B53627" w:rsidRPr="00B53627" w:rsidRDefault="00B53627" w:rsidP="00B53627">
            <w:pPr>
              <w:jc w:val="center"/>
              <w:rPr>
                <w:rFonts w:ascii="Arial" w:hAnsi="Arial" w:cs="Arial"/>
                <w:color w:val="000000"/>
                <w:sz w:val="20"/>
                <w:szCs w:val="20"/>
              </w:rPr>
            </w:pPr>
            <w:r w:rsidRPr="00B53627">
              <w:rPr>
                <w:rFonts w:ascii="Arial" w:hAnsi="Arial" w:cs="Arial"/>
                <w:color w:val="000000"/>
                <w:sz w:val="20"/>
                <w:szCs w:val="20"/>
              </w:rPr>
              <w:t>48%</w:t>
            </w:r>
          </w:p>
        </w:tc>
      </w:tr>
      <w:tr w:rsidR="00B53627" w:rsidRPr="00B53627" w14:paraId="250FC01F"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3AB7FF3D" w14:textId="77777777" w:rsidR="00B53627" w:rsidRPr="00B53627" w:rsidRDefault="00B53627" w:rsidP="00B53627">
            <w:pPr>
              <w:ind w:firstLineChars="100" w:firstLine="200"/>
              <w:rPr>
                <w:rFonts w:ascii="Arial" w:hAnsi="Arial" w:cs="Arial"/>
                <w:color w:val="000000"/>
                <w:sz w:val="20"/>
                <w:szCs w:val="20"/>
              </w:rPr>
            </w:pPr>
            <w:r w:rsidRPr="00B53627">
              <w:rPr>
                <w:rFonts w:ascii="Arial" w:hAnsi="Arial" w:cs="Arial"/>
                <w:color w:val="000000"/>
                <w:sz w:val="20"/>
                <w:szCs w:val="20"/>
              </w:rPr>
              <w:t>Guidimouni</w:t>
            </w:r>
          </w:p>
        </w:tc>
        <w:tc>
          <w:tcPr>
            <w:tcW w:w="2170" w:type="dxa"/>
            <w:tcBorders>
              <w:top w:val="nil"/>
              <w:left w:val="nil"/>
              <w:bottom w:val="single" w:sz="4" w:space="0" w:color="auto"/>
              <w:right w:val="single" w:sz="4" w:space="0" w:color="auto"/>
            </w:tcBorders>
            <w:shd w:val="clear" w:color="auto" w:fill="auto"/>
            <w:noWrap/>
            <w:vAlign w:val="center"/>
            <w:hideMark/>
          </w:tcPr>
          <w:p w14:paraId="3FC7892C" w14:textId="77777777"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218</w:t>
            </w:r>
          </w:p>
        </w:tc>
        <w:tc>
          <w:tcPr>
            <w:tcW w:w="2409" w:type="dxa"/>
            <w:tcBorders>
              <w:top w:val="nil"/>
              <w:left w:val="nil"/>
              <w:bottom w:val="single" w:sz="4" w:space="0" w:color="auto"/>
              <w:right w:val="single" w:sz="4" w:space="0" w:color="auto"/>
            </w:tcBorders>
            <w:shd w:val="clear" w:color="auto" w:fill="auto"/>
            <w:noWrap/>
            <w:vAlign w:val="center"/>
            <w:hideMark/>
          </w:tcPr>
          <w:p w14:paraId="64E637CC" w14:textId="24143F3D" w:rsidR="00B53627" w:rsidRPr="00B53627" w:rsidRDefault="00B53627" w:rsidP="00B53627">
            <w:pPr>
              <w:jc w:val="right"/>
              <w:rPr>
                <w:rFonts w:ascii="Arial" w:hAnsi="Arial" w:cs="Arial"/>
                <w:color w:val="000000"/>
                <w:sz w:val="20"/>
                <w:szCs w:val="20"/>
              </w:rPr>
            </w:pPr>
            <w:r w:rsidRPr="00B53627">
              <w:rPr>
                <w:rFonts w:ascii="Arial" w:hAnsi="Arial" w:cs="Arial"/>
                <w:color w:val="000000"/>
                <w:sz w:val="20"/>
                <w:szCs w:val="20"/>
              </w:rPr>
              <w:t>7</w:t>
            </w:r>
            <w:r>
              <w:rPr>
                <w:rFonts w:ascii="Arial" w:hAnsi="Arial" w:cs="Arial"/>
                <w:color w:val="000000"/>
                <w:sz w:val="20"/>
                <w:szCs w:val="20"/>
              </w:rPr>
              <w:t xml:space="preserve"> </w:t>
            </w:r>
            <w:r w:rsidRPr="00B53627">
              <w:rPr>
                <w:rFonts w:ascii="Arial" w:hAnsi="Arial" w:cs="Arial"/>
                <w:color w:val="000000"/>
                <w:sz w:val="20"/>
                <w:szCs w:val="20"/>
              </w:rPr>
              <w:t>990</w:t>
            </w:r>
          </w:p>
        </w:tc>
        <w:tc>
          <w:tcPr>
            <w:tcW w:w="1900" w:type="dxa"/>
            <w:tcBorders>
              <w:top w:val="nil"/>
              <w:left w:val="nil"/>
              <w:bottom w:val="single" w:sz="4" w:space="0" w:color="auto"/>
              <w:right w:val="single" w:sz="4" w:space="0" w:color="auto"/>
            </w:tcBorders>
            <w:shd w:val="clear" w:color="auto" w:fill="auto"/>
            <w:noWrap/>
            <w:vAlign w:val="center"/>
            <w:hideMark/>
          </w:tcPr>
          <w:p w14:paraId="6EF76CA4" w14:textId="77777777" w:rsidR="00B53627" w:rsidRPr="00B53627" w:rsidRDefault="00B53627" w:rsidP="00B53627">
            <w:pPr>
              <w:jc w:val="center"/>
              <w:rPr>
                <w:rFonts w:ascii="Arial" w:hAnsi="Arial" w:cs="Arial"/>
                <w:color w:val="000000"/>
                <w:sz w:val="20"/>
                <w:szCs w:val="20"/>
              </w:rPr>
            </w:pPr>
            <w:r w:rsidRPr="00B53627">
              <w:rPr>
                <w:rFonts w:ascii="Arial" w:hAnsi="Arial" w:cs="Arial"/>
                <w:color w:val="000000"/>
                <w:sz w:val="20"/>
                <w:szCs w:val="20"/>
              </w:rPr>
              <w:t>26%</w:t>
            </w:r>
          </w:p>
        </w:tc>
      </w:tr>
      <w:tr w:rsidR="00B53627" w:rsidRPr="00B53627" w14:paraId="3D4B5775" w14:textId="77777777" w:rsidTr="00B53627">
        <w:trPr>
          <w:trHeight w:val="264"/>
          <w:jc w:val="center"/>
        </w:trPr>
        <w:tc>
          <w:tcPr>
            <w:tcW w:w="2220" w:type="dxa"/>
            <w:tcBorders>
              <w:top w:val="nil"/>
              <w:left w:val="single" w:sz="4" w:space="0" w:color="auto"/>
              <w:bottom w:val="single" w:sz="4" w:space="0" w:color="auto"/>
              <w:right w:val="single" w:sz="4" w:space="0" w:color="auto"/>
            </w:tcBorders>
            <w:shd w:val="clear" w:color="000000" w:fill="D9E7FD"/>
            <w:noWrap/>
            <w:vAlign w:val="center"/>
            <w:hideMark/>
          </w:tcPr>
          <w:p w14:paraId="684A3881" w14:textId="77777777" w:rsidR="00B53627" w:rsidRPr="00B53627" w:rsidRDefault="00B53627" w:rsidP="00B53627">
            <w:pPr>
              <w:rPr>
                <w:rFonts w:ascii="Arial" w:hAnsi="Arial" w:cs="Arial"/>
                <w:b/>
                <w:bCs/>
                <w:color w:val="000000"/>
                <w:sz w:val="20"/>
                <w:szCs w:val="20"/>
              </w:rPr>
            </w:pPr>
            <w:r w:rsidRPr="00B53627">
              <w:rPr>
                <w:rFonts w:ascii="Arial" w:hAnsi="Arial" w:cs="Arial"/>
                <w:b/>
                <w:bCs/>
                <w:color w:val="000000"/>
                <w:sz w:val="20"/>
                <w:szCs w:val="20"/>
              </w:rPr>
              <w:t>Total général</w:t>
            </w:r>
          </w:p>
        </w:tc>
        <w:tc>
          <w:tcPr>
            <w:tcW w:w="2170" w:type="dxa"/>
            <w:tcBorders>
              <w:top w:val="nil"/>
              <w:left w:val="nil"/>
              <w:bottom w:val="single" w:sz="4" w:space="0" w:color="auto"/>
              <w:right w:val="single" w:sz="4" w:space="0" w:color="auto"/>
            </w:tcBorders>
            <w:shd w:val="clear" w:color="000000" w:fill="D9E7FD"/>
            <w:noWrap/>
            <w:vAlign w:val="center"/>
            <w:hideMark/>
          </w:tcPr>
          <w:p w14:paraId="0266A580" w14:textId="2B7CF100"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3</w:t>
            </w:r>
            <w:r w:rsidR="0053435A">
              <w:rPr>
                <w:rFonts w:ascii="Arial" w:hAnsi="Arial" w:cs="Arial"/>
                <w:b/>
                <w:bCs/>
                <w:color w:val="000000"/>
                <w:sz w:val="20"/>
                <w:szCs w:val="20"/>
              </w:rPr>
              <w:t xml:space="preserve"> </w:t>
            </w:r>
            <w:r w:rsidRPr="00B53627">
              <w:rPr>
                <w:rFonts w:ascii="Arial" w:hAnsi="Arial" w:cs="Arial"/>
                <w:b/>
                <w:bCs/>
                <w:color w:val="000000"/>
                <w:sz w:val="20"/>
                <w:szCs w:val="20"/>
              </w:rPr>
              <w:t>578</w:t>
            </w:r>
          </w:p>
        </w:tc>
        <w:tc>
          <w:tcPr>
            <w:tcW w:w="2409" w:type="dxa"/>
            <w:tcBorders>
              <w:top w:val="nil"/>
              <w:left w:val="nil"/>
              <w:bottom w:val="single" w:sz="4" w:space="0" w:color="auto"/>
              <w:right w:val="single" w:sz="4" w:space="0" w:color="auto"/>
            </w:tcBorders>
            <w:shd w:val="clear" w:color="000000" w:fill="D9E7FD"/>
            <w:noWrap/>
            <w:vAlign w:val="center"/>
            <w:hideMark/>
          </w:tcPr>
          <w:p w14:paraId="36E7E3E9" w14:textId="21F12F84"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113</w:t>
            </w:r>
            <w:r w:rsidR="0053435A">
              <w:rPr>
                <w:rFonts w:ascii="Arial" w:hAnsi="Arial" w:cs="Arial"/>
                <w:b/>
                <w:bCs/>
                <w:color w:val="000000"/>
                <w:sz w:val="20"/>
                <w:szCs w:val="20"/>
              </w:rPr>
              <w:t xml:space="preserve"> </w:t>
            </w:r>
            <w:r w:rsidRPr="00B53627">
              <w:rPr>
                <w:rFonts w:ascii="Arial" w:hAnsi="Arial" w:cs="Arial"/>
                <w:b/>
                <w:bCs/>
                <w:color w:val="000000"/>
                <w:sz w:val="20"/>
                <w:szCs w:val="20"/>
              </w:rPr>
              <w:t>565</w:t>
            </w:r>
          </w:p>
        </w:tc>
        <w:tc>
          <w:tcPr>
            <w:tcW w:w="1900" w:type="dxa"/>
            <w:tcBorders>
              <w:top w:val="nil"/>
              <w:left w:val="nil"/>
              <w:bottom w:val="single" w:sz="4" w:space="0" w:color="auto"/>
              <w:right w:val="single" w:sz="4" w:space="0" w:color="auto"/>
            </w:tcBorders>
            <w:shd w:val="clear" w:color="000000" w:fill="D9E7FD"/>
            <w:noWrap/>
            <w:vAlign w:val="center"/>
            <w:hideMark/>
          </w:tcPr>
          <w:p w14:paraId="791F3544" w14:textId="77777777" w:rsidR="00B53627" w:rsidRPr="00B53627" w:rsidRDefault="00B53627" w:rsidP="00B53627">
            <w:pPr>
              <w:jc w:val="right"/>
              <w:rPr>
                <w:rFonts w:ascii="Arial" w:hAnsi="Arial" w:cs="Arial"/>
                <w:b/>
                <w:bCs/>
                <w:color w:val="000000"/>
                <w:sz w:val="20"/>
                <w:szCs w:val="20"/>
              </w:rPr>
            </w:pPr>
            <w:r w:rsidRPr="00B53627">
              <w:rPr>
                <w:rFonts w:ascii="Arial" w:hAnsi="Arial" w:cs="Arial"/>
                <w:b/>
                <w:bCs/>
                <w:color w:val="000000"/>
                <w:sz w:val="20"/>
                <w:szCs w:val="20"/>
              </w:rPr>
              <w:t>100%</w:t>
            </w:r>
          </w:p>
        </w:tc>
      </w:tr>
    </w:tbl>
    <w:p w14:paraId="6C027789" w14:textId="25C1AEF4" w:rsidR="001D714E" w:rsidRPr="000E18CE" w:rsidRDefault="0053435A" w:rsidP="001D714E">
      <w:pPr>
        <w:tabs>
          <w:tab w:val="left" w:pos="4402"/>
        </w:tabs>
        <w:spacing w:line="276" w:lineRule="auto"/>
        <w:rPr>
          <w:rFonts w:ascii="Bookman Old Style" w:hAnsi="Bookman Old Style" w:cs="Arial"/>
          <w:sz w:val="18"/>
          <w:szCs w:val="18"/>
        </w:rPr>
      </w:pPr>
      <w:r>
        <w:rPr>
          <w:rFonts w:ascii="Bookman Old Style" w:hAnsi="Bookman Old Style" w:cs="Arial"/>
          <w:sz w:val="18"/>
          <w:szCs w:val="18"/>
        </w:rPr>
        <w:t xml:space="preserve">  </w:t>
      </w:r>
      <w:r w:rsidR="000E18CE" w:rsidRPr="000E18CE">
        <w:rPr>
          <w:rFonts w:ascii="Bookman Old Style" w:hAnsi="Bookman Old Style" w:cs="Arial"/>
          <w:sz w:val="18"/>
          <w:szCs w:val="18"/>
        </w:rPr>
        <w:t>Source : Enquête terrain, septembre 2021</w:t>
      </w:r>
    </w:p>
    <w:p w14:paraId="3B6E7F53" w14:textId="47ABB784" w:rsidR="006628EC" w:rsidRPr="001310BC" w:rsidRDefault="006628EC" w:rsidP="007739CB">
      <w:pPr>
        <w:pStyle w:val="Titre3"/>
        <w:numPr>
          <w:ilvl w:val="2"/>
          <w:numId w:val="3"/>
        </w:numPr>
        <w:rPr>
          <w:rFonts w:ascii="Bookman Old Style" w:hAnsi="Bookman Old Style" w:cs="Arial"/>
          <w:i/>
          <w:iCs/>
        </w:rPr>
      </w:pPr>
      <w:bookmarkStart w:id="42" w:name="_Toc97822362"/>
      <w:bookmarkEnd w:id="40"/>
      <w:r w:rsidRPr="001310BC">
        <w:rPr>
          <w:rFonts w:ascii="Bookman Old Style" w:hAnsi="Bookman Old Style" w:cs="Arial"/>
          <w:i/>
          <w:iCs/>
        </w:rPr>
        <w:t>Période</w:t>
      </w:r>
      <w:r w:rsidR="00587CA2" w:rsidRPr="001310BC">
        <w:rPr>
          <w:rFonts w:ascii="Bookman Old Style" w:hAnsi="Bookman Old Style" w:cs="Arial"/>
          <w:i/>
          <w:iCs/>
        </w:rPr>
        <w:t>s</w:t>
      </w:r>
      <w:r w:rsidRPr="001310BC">
        <w:rPr>
          <w:rFonts w:ascii="Bookman Old Style" w:hAnsi="Bookman Old Style" w:cs="Arial"/>
          <w:i/>
          <w:iCs/>
        </w:rPr>
        <w:t xml:space="preserve"> de cession des vivres aux ménages</w:t>
      </w:r>
      <w:bookmarkEnd w:id="42"/>
    </w:p>
    <w:p w14:paraId="09430DD6" w14:textId="41D3E2FC" w:rsidR="001D714E" w:rsidRDefault="000F68F1" w:rsidP="00C817B3">
      <w:pPr>
        <w:tabs>
          <w:tab w:val="left" w:pos="4402"/>
        </w:tabs>
        <w:spacing w:before="240" w:line="276" w:lineRule="auto"/>
        <w:jc w:val="both"/>
        <w:rPr>
          <w:rFonts w:ascii="Bookman Old Style" w:hAnsi="Bookman Old Style" w:cs="Arial"/>
        </w:rPr>
      </w:pPr>
      <w:r>
        <w:rPr>
          <w:rFonts w:ascii="Bookman Old Style" w:hAnsi="Bookman Old Style" w:cs="Arial"/>
        </w:rPr>
        <w:t>Deux principales distributions des vivres ont eu lieu au niveau des GFS en de moments différents. La période de labour est la plus utilisée</w:t>
      </w:r>
      <w:r w:rsidRPr="000F68F1">
        <w:rPr>
          <w:rFonts w:ascii="Bookman Old Style" w:hAnsi="Bookman Old Style" w:cs="Arial"/>
        </w:rPr>
        <w:t xml:space="preserve"> </w:t>
      </w:r>
      <w:r>
        <w:rPr>
          <w:rFonts w:ascii="Bookman Old Style" w:hAnsi="Bookman Old Style" w:cs="Arial"/>
        </w:rPr>
        <w:t>pour la première distribution des céréales</w:t>
      </w:r>
      <w:r w:rsidR="004F5FB7">
        <w:rPr>
          <w:rFonts w:ascii="Bookman Old Style" w:hAnsi="Bookman Old Style" w:cs="Arial"/>
        </w:rPr>
        <w:t xml:space="preserve"> de GFS avec 71% de réponses suivi de la période de semis (21%) et celle de préparation des champs</w:t>
      </w:r>
      <w:r w:rsidR="005F71DD">
        <w:rPr>
          <w:rFonts w:ascii="Bookman Old Style" w:hAnsi="Bookman Old Style" w:cs="Arial"/>
        </w:rPr>
        <w:t xml:space="preserve"> (8%)</w:t>
      </w:r>
      <w:r w:rsidR="004F5FB7">
        <w:rPr>
          <w:rFonts w:ascii="Bookman Old Style" w:hAnsi="Bookman Old Style" w:cs="Arial"/>
        </w:rPr>
        <w:t>. Le labour est une étape clé de la production agricole pluvial</w:t>
      </w:r>
      <w:r w:rsidR="005F71DD">
        <w:rPr>
          <w:rFonts w:ascii="Bookman Old Style" w:hAnsi="Bookman Old Style" w:cs="Arial"/>
        </w:rPr>
        <w:t>e</w:t>
      </w:r>
      <w:r w:rsidR="004F5FB7">
        <w:rPr>
          <w:rFonts w:ascii="Bookman Old Style" w:hAnsi="Bookman Old Style" w:cs="Arial"/>
        </w:rPr>
        <w:t xml:space="preserve"> et qui détermine ou donne les prémices des résultats de la campagne agricole. </w:t>
      </w:r>
      <w:r w:rsidR="00125146">
        <w:rPr>
          <w:rFonts w:ascii="Bookman Old Style" w:hAnsi="Bookman Old Style" w:cs="Arial"/>
        </w:rPr>
        <w:t>Dans des conditions normales, t</w:t>
      </w:r>
      <w:r w:rsidR="004F5FB7">
        <w:rPr>
          <w:rFonts w:ascii="Bookman Old Style" w:hAnsi="Bookman Old Style" w:cs="Arial"/>
        </w:rPr>
        <w:t>out retard de labour est synonyme de compromission d’une « bonne récolte », c’est pourquoi les vivres sont cédées aux ménages afin qu’ils restent exploiter leurs propres champs au lieu d’aller travailler dans les champs des plus nantis et sacrifier les leurs. La distribution au moment de semis ou la préparation des champs peut être expliquée par un fort besoin en vivres des plus grands nombres des ménages GFS du fait d’épuisement total de leurs stocks de ménages.</w:t>
      </w:r>
    </w:p>
    <w:p w14:paraId="18821A7A" w14:textId="586B2132" w:rsidR="00226B0F" w:rsidRDefault="00226B0F" w:rsidP="004212E9">
      <w:pPr>
        <w:tabs>
          <w:tab w:val="left" w:pos="4402"/>
        </w:tabs>
        <w:spacing w:line="276" w:lineRule="auto"/>
        <w:jc w:val="center"/>
        <w:rPr>
          <w:rFonts w:ascii="Bookman Old Style" w:hAnsi="Bookman Old Style" w:cs="Arial"/>
        </w:rPr>
      </w:pPr>
    </w:p>
    <w:p w14:paraId="20E5656A" w14:textId="0A8D4E91" w:rsidR="00226B0F" w:rsidRDefault="00520566" w:rsidP="004212E9">
      <w:pPr>
        <w:tabs>
          <w:tab w:val="left" w:pos="4402"/>
        </w:tabs>
        <w:spacing w:line="276" w:lineRule="auto"/>
        <w:jc w:val="center"/>
        <w:rPr>
          <w:rFonts w:ascii="Bookman Old Style" w:hAnsi="Bookman Old Style" w:cs="Arial"/>
        </w:rPr>
      </w:pPr>
      <w:r>
        <w:rPr>
          <w:noProof/>
        </w:rPr>
        <w:lastRenderedPageBreak/>
        <w:drawing>
          <wp:inline distT="0" distB="0" distL="0" distR="0" wp14:anchorId="6A0BD29C" wp14:editId="6B227302">
            <wp:extent cx="4617720" cy="3211830"/>
            <wp:effectExtent l="0" t="0" r="11430" b="7620"/>
            <wp:docPr id="20" name="Graphique 20">
              <a:extLst xmlns:a="http://schemas.openxmlformats.org/drawingml/2006/main">
                <a:ext uri="{FF2B5EF4-FFF2-40B4-BE49-F238E27FC236}">
                  <a16:creationId xmlns:a16="http://schemas.microsoft.com/office/drawing/2014/main" id="{DEA02466-FCAA-4A7E-83C1-238B999E9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CD7B7F" w14:textId="49DC6365" w:rsidR="000E18CE" w:rsidRPr="000E18CE" w:rsidRDefault="00A86C05" w:rsidP="003D37B5">
      <w:pPr>
        <w:pStyle w:val="Lgende"/>
        <w:rPr>
          <w:rFonts w:ascii="Bookman Old Style" w:hAnsi="Bookman Old Style" w:cs="Arial"/>
        </w:rPr>
      </w:pPr>
      <w:r>
        <w:rPr>
          <w:rFonts w:ascii="Bookman Old Style" w:hAnsi="Bookman Old Style" w:cs="Arial"/>
        </w:rPr>
        <w:t xml:space="preserve">               </w:t>
      </w:r>
      <w:r w:rsidR="003D37B5">
        <w:rPr>
          <w:rFonts w:ascii="Bookman Old Style" w:hAnsi="Bookman Old Style" w:cs="Arial"/>
        </w:rPr>
        <w:t xml:space="preserve"> </w:t>
      </w:r>
      <w:bookmarkStart w:id="43" w:name="_Toc97823223"/>
      <w:r w:rsidR="00FC0713">
        <w:t xml:space="preserve">Figure </w:t>
      </w:r>
      <w:fldSimple w:instr=" SEQ Figure \* ARABIC ">
        <w:r w:rsidR="004F4E33">
          <w:rPr>
            <w:noProof/>
          </w:rPr>
          <w:t>10</w:t>
        </w:r>
      </w:fldSimple>
      <w:r w:rsidR="00FC0713">
        <w:t> : Période de distribution</w:t>
      </w:r>
      <w:bookmarkEnd w:id="43"/>
    </w:p>
    <w:p w14:paraId="320300A8" w14:textId="7667D673" w:rsidR="00A86C05" w:rsidRDefault="00A86C05" w:rsidP="007B5322">
      <w:pPr>
        <w:tabs>
          <w:tab w:val="left" w:pos="4402"/>
        </w:tabs>
        <w:spacing w:before="240" w:line="276" w:lineRule="auto"/>
        <w:jc w:val="both"/>
        <w:rPr>
          <w:rFonts w:ascii="Bookman Old Style" w:hAnsi="Bookman Old Style" w:cs="Arial"/>
        </w:rPr>
      </w:pPr>
      <w:r>
        <w:rPr>
          <w:rFonts w:ascii="Bookman Old Style" w:hAnsi="Bookman Old Style" w:cs="Arial"/>
        </w:rPr>
        <w:t>Quant à la deuxième cession des vivres, elle a lieu en majorité au moment de sarclage (75%) des réponses. 17% des répondants déclarent avoir fait la deuxième distribution à la période de labour, ce qui corrobore la distribution des céréales en période de semis ou préparation des champs signalé ci-haut. Plus la 1</w:t>
      </w:r>
      <w:r w:rsidRPr="00791864">
        <w:rPr>
          <w:rFonts w:ascii="Bookman Old Style" w:hAnsi="Bookman Old Style" w:cs="Arial"/>
          <w:vertAlign w:val="superscript"/>
        </w:rPr>
        <w:t>ère</w:t>
      </w:r>
      <w:r>
        <w:rPr>
          <w:rFonts w:ascii="Bookman Old Style" w:hAnsi="Bookman Old Style" w:cs="Arial"/>
        </w:rPr>
        <w:t xml:space="preserve"> distribution intervient plus tôt c’est-à-dire avant la période de labour, plus l</w:t>
      </w:r>
      <w:r w:rsidR="00791864">
        <w:rPr>
          <w:rFonts w:ascii="Bookman Old Style" w:hAnsi="Bookman Old Style" w:cs="Arial"/>
        </w:rPr>
        <w:t>es bénéficiaires seront tentées de procéder à la</w:t>
      </w:r>
      <w:r>
        <w:rPr>
          <w:rFonts w:ascii="Bookman Old Style" w:hAnsi="Bookman Old Style" w:cs="Arial"/>
        </w:rPr>
        <w:t xml:space="preserve"> 2è </w:t>
      </w:r>
      <w:r w:rsidR="00791864">
        <w:rPr>
          <w:rFonts w:ascii="Bookman Old Style" w:hAnsi="Bookman Old Style" w:cs="Arial"/>
        </w:rPr>
        <w:t>distribution avant la période de sarclage.</w:t>
      </w:r>
    </w:p>
    <w:p w14:paraId="5085EE8F" w14:textId="6F04EE0B" w:rsidR="006628EC" w:rsidRPr="001310BC" w:rsidRDefault="00587CA2" w:rsidP="007739CB">
      <w:pPr>
        <w:pStyle w:val="Titre3"/>
        <w:numPr>
          <w:ilvl w:val="2"/>
          <w:numId w:val="3"/>
        </w:numPr>
        <w:rPr>
          <w:rFonts w:ascii="Bookman Old Style" w:hAnsi="Bookman Old Style" w:cs="Arial"/>
          <w:i/>
          <w:iCs/>
        </w:rPr>
      </w:pPr>
      <w:bookmarkStart w:id="44" w:name="_Toc97822363"/>
      <w:r w:rsidRPr="001310BC">
        <w:rPr>
          <w:rFonts w:ascii="Bookman Old Style" w:hAnsi="Bookman Old Style" w:cs="Arial"/>
          <w:i/>
          <w:iCs/>
        </w:rPr>
        <w:t>Sources de remboursement de prêt</w:t>
      </w:r>
      <w:bookmarkEnd w:id="44"/>
    </w:p>
    <w:p w14:paraId="6DD5B5D3" w14:textId="6CE55865" w:rsidR="00791864" w:rsidRDefault="00791864" w:rsidP="005F71DD">
      <w:pPr>
        <w:tabs>
          <w:tab w:val="left" w:pos="4402"/>
        </w:tabs>
        <w:spacing w:before="240" w:line="276" w:lineRule="auto"/>
        <w:jc w:val="both"/>
        <w:rPr>
          <w:rFonts w:ascii="Bookman Old Style" w:hAnsi="Bookman Old Style" w:cs="Arial"/>
        </w:rPr>
      </w:pPr>
      <w:r>
        <w:rPr>
          <w:rFonts w:ascii="Bookman Old Style" w:hAnsi="Bookman Old Style" w:cs="Arial"/>
        </w:rPr>
        <w:t>Trois principales sources sont utilisées par les bénéficiaires pour le remboursement des céréales avec bonification. La source la plus largement utilisée est la production issue de l’exploitation agricole familiale (73%), ce qui confirme le consentement des maris évoqués plus haut. Toutefois, il est fait recours aussi au marché pour rembourser en cas de mauvaise campagne</w:t>
      </w:r>
      <w:r w:rsidR="00B746DF">
        <w:rPr>
          <w:rFonts w:ascii="Bookman Old Style" w:hAnsi="Bookman Old Style" w:cs="Arial"/>
        </w:rPr>
        <w:t xml:space="preserve"> ou de possibilités d'achat des vivres sur le marché</w:t>
      </w:r>
      <w:r>
        <w:rPr>
          <w:rFonts w:ascii="Bookman Old Style" w:hAnsi="Bookman Old Style" w:cs="Arial"/>
        </w:rPr>
        <w:t xml:space="preserve"> (18%). En fin 9% des répondants déclarent que c’est la femme qui rembourse dans sa propre production. Il s’agit à ce niveau des femmes cheffes de ménages ou ayant pris les vivres sans le consentement de leurs époux.  </w:t>
      </w:r>
    </w:p>
    <w:p w14:paraId="2EA0C9A5" w14:textId="77777777" w:rsidR="00791864" w:rsidRDefault="00791864" w:rsidP="00791864">
      <w:pPr>
        <w:tabs>
          <w:tab w:val="left" w:pos="4402"/>
        </w:tabs>
        <w:spacing w:line="276" w:lineRule="auto"/>
        <w:jc w:val="both"/>
        <w:rPr>
          <w:rFonts w:ascii="Bookman Old Style" w:hAnsi="Bookman Old Style" w:cs="Arial"/>
        </w:rPr>
      </w:pPr>
    </w:p>
    <w:p w14:paraId="0D4D5BD5" w14:textId="6237CDD2" w:rsidR="006869DB" w:rsidRDefault="006869DB" w:rsidP="006869DB">
      <w:pPr>
        <w:tabs>
          <w:tab w:val="left" w:pos="4402"/>
        </w:tabs>
        <w:spacing w:line="276" w:lineRule="auto"/>
        <w:jc w:val="center"/>
        <w:rPr>
          <w:rFonts w:ascii="Bookman Old Style" w:hAnsi="Bookman Old Style" w:cs="Arial"/>
        </w:rPr>
      </w:pPr>
      <w:r>
        <w:rPr>
          <w:noProof/>
        </w:rPr>
        <w:lastRenderedPageBreak/>
        <w:drawing>
          <wp:inline distT="0" distB="0" distL="0" distR="0" wp14:anchorId="5ECC5189" wp14:editId="2F06AFB4">
            <wp:extent cx="4572000" cy="2171700"/>
            <wp:effectExtent l="0" t="0" r="0" b="0"/>
            <wp:docPr id="22" name="Graphique 22">
              <a:extLst xmlns:a="http://schemas.openxmlformats.org/drawingml/2006/main">
                <a:ext uri="{FF2B5EF4-FFF2-40B4-BE49-F238E27FC236}">
                  <a16:creationId xmlns:a16="http://schemas.microsoft.com/office/drawing/2014/main" id="{6FA73E08-ADF7-4265-829A-2B5E565AF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845261" w14:textId="1BBF9CC1" w:rsidR="000E18CE" w:rsidRPr="000E18CE" w:rsidRDefault="00791864" w:rsidP="003D37B5">
      <w:pPr>
        <w:pStyle w:val="Lgende"/>
        <w:rPr>
          <w:rFonts w:ascii="Bookman Old Style" w:hAnsi="Bookman Old Style" w:cs="Arial"/>
        </w:rPr>
      </w:pPr>
      <w:r>
        <w:rPr>
          <w:rFonts w:ascii="Bookman Old Style" w:hAnsi="Bookman Old Style" w:cs="Arial"/>
        </w:rPr>
        <w:t xml:space="preserve">                </w:t>
      </w:r>
      <w:bookmarkStart w:id="45" w:name="_Toc97823224"/>
      <w:r w:rsidR="00FC0713">
        <w:t xml:space="preserve">Figure </w:t>
      </w:r>
      <w:fldSimple w:instr=" SEQ Figure \* ARABIC ">
        <w:r w:rsidR="004F4E33">
          <w:rPr>
            <w:noProof/>
          </w:rPr>
          <w:t>11</w:t>
        </w:r>
      </w:fldSimple>
      <w:r w:rsidR="00FC0713">
        <w:t> : Sources de remboursement de</w:t>
      </w:r>
      <w:r w:rsidR="00290B2A">
        <w:t xml:space="preserve"> prêt</w:t>
      </w:r>
      <w:bookmarkEnd w:id="45"/>
    </w:p>
    <w:p w14:paraId="1AA776CF" w14:textId="77777777" w:rsidR="00C85B40" w:rsidRDefault="00B746DF" w:rsidP="007B5322">
      <w:pPr>
        <w:tabs>
          <w:tab w:val="left" w:pos="4402"/>
        </w:tabs>
        <w:spacing w:before="240" w:line="276" w:lineRule="auto"/>
        <w:jc w:val="both"/>
        <w:rPr>
          <w:rFonts w:ascii="Bookman Old Style" w:hAnsi="Bookman Old Style" w:cs="Arial"/>
        </w:rPr>
      </w:pPr>
      <w:r>
        <w:rPr>
          <w:rFonts w:ascii="Bookman Old Style" w:hAnsi="Bookman Old Style" w:cs="Arial"/>
        </w:rPr>
        <w:t xml:space="preserve">De façon détaillée par région, on constate que les quantités des céréales à rembourser </w:t>
      </w:r>
      <w:r w:rsidR="00FE694F">
        <w:rPr>
          <w:rFonts w:ascii="Bookman Old Style" w:hAnsi="Bookman Old Style" w:cs="Arial"/>
        </w:rPr>
        <w:t xml:space="preserve">proviennent principalement </w:t>
      </w:r>
      <w:r>
        <w:rPr>
          <w:rFonts w:ascii="Bookman Old Style" w:hAnsi="Bookman Old Style" w:cs="Arial"/>
        </w:rPr>
        <w:t>de la production familiale.</w:t>
      </w:r>
      <w:r w:rsidR="00FE694F">
        <w:rPr>
          <w:rFonts w:ascii="Bookman Old Style" w:hAnsi="Bookman Old Style" w:cs="Arial"/>
        </w:rPr>
        <w:t xml:space="preserve"> A Tahoua par exemple 100% des vivres sont prélevés de la production familiale contre 67% et 62% respectivement à Maradi et Zinder. </w:t>
      </w:r>
      <w:r w:rsidR="00C26949">
        <w:rPr>
          <w:rFonts w:ascii="Bookman Old Style" w:hAnsi="Bookman Old Style" w:cs="Arial"/>
        </w:rPr>
        <w:t xml:space="preserve">Le recours au marché est plus élevé à Zinder avec 31% contre 17% à Maradi. </w:t>
      </w:r>
    </w:p>
    <w:p w14:paraId="5E294079" w14:textId="0F2B8286" w:rsidR="00B746DF" w:rsidRPr="000C5BD0" w:rsidRDefault="00C26949" w:rsidP="007B5322">
      <w:pPr>
        <w:tabs>
          <w:tab w:val="left" w:pos="4402"/>
        </w:tabs>
        <w:spacing w:before="240" w:line="276" w:lineRule="auto"/>
        <w:jc w:val="both"/>
        <w:rPr>
          <w:rFonts w:ascii="Bookman Old Style" w:hAnsi="Bookman Old Style" w:cs="Arial"/>
          <w:color w:val="FF0000"/>
        </w:rPr>
      </w:pPr>
      <w:r>
        <w:rPr>
          <w:rFonts w:ascii="Bookman Old Style" w:hAnsi="Bookman Old Style" w:cs="Arial"/>
        </w:rPr>
        <w:t xml:space="preserve">En fin, c’est à Maradi que le remboursement se fait le plus dans la production agricole de la femme avec 17% suivi de Zinder avec 8%. </w:t>
      </w:r>
      <w:r w:rsidR="00B97E8F">
        <w:rPr>
          <w:rFonts w:ascii="Bookman Old Style" w:hAnsi="Bookman Old Style" w:cs="Arial"/>
          <w:color w:val="FF0000"/>
        </w:rPr>
        <w:t xml:space="preserve"> </w:t>
      </w:r>
      <w:r w:rsidR="000C5BD0" w:rsidRPr="000C5BD0">
        <w:rPr>
          <w:rFonts w:ascii="Bookman Old Style" w:hAnsi="Bookman Old Style" w:cs="Arial"/>
          <w:color w:val="FF0000"/>
        </w:rPr>
        <w:t xml:space="preserve"> </w:t>
      </w:r>
    </w:p>
    <w:p w14:paraId="4D705C87" w14:textId="4872038A" w:rsidR="00FE694F" w:rsidRDefault="00FE694F" w:rsidP="00B746DF">
      <w:pPr>
        <w:tabs>
          <w:tab w:val="left" w:pos="4402"/>
        </w:tabs>
        <w:spacing w:line="276" w:lineRule="auto"/>
        <w:rPr>
          <w:rFonts w:ascii="Bookman Old Style" w:hAnsi="Bookman Old Style" w:cs="Arial"/>
        </w:rPr>
      </w:pPr>
    </w:p>
    <w:p w14:paraId="75AA15AC" w14:textId="031484E2" w:rsidR="00FE694F" w:rsidRDefault="00FE694F" w:rsidP="00FE694F">
      <w:pPr>
        <w:tabs>
          <w:tab w:val="left" w:pos="4402"/>
        </w:tabs>
        <w:spacing w:line="276" w:lineRule="auto"/>
        <w:jc w:val="center"/>
        <w:rPr>
          <w:rFonts w:ascii="Bookman Old Style" w:hAnsi="Bookman Old Style" w:cs="Arial"/>
        </w:rPr>
      </w:pPr>
      <w:r>
        <w:rPr>
          <w:noProof/>
        </w:rPr>
        <w:drawing>
          <wp:inline distT="0" distB="0" distL="0" distR="0" wp14:anchorId="453A8A4C" wp14:editId="01237801">
            <wp:extent cx="4572000" cy="2362200"/>
            <wp:effectExtent l="0" t="0" r="0" b="0"/>
            <wp:docPr id="10" name="Graphique 10">
              <a:extLst xmlns:a="http://schemas.openxmlformats.org/drawingml/2006/main">
                <a:ext uri="{FF2B5EF4-FFF2-40B4-BE49-F238E27FC236}">
                  <a16:creationId xmlns:a16="http://schemas.microsoft.com/office/drawing/2014/main" id="{5EAA5578-0A09-47F7-B929-9EC4C0DC2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EBD063" w14:textId="3565654A" w:rsidR="000E18CE" w:rsidRPr="000E18CE" w:rsidRDefault="00791864" w:rsidP="003D37B5">
      <w:pPr>
        <w:pStyle w:val="Lgende"/>
        <w:rPr>
          <w:rFonts w:ascii="Bookman Old Style" w:hAnsi="Bookman Old Style" w:cs="Arial"/>
        </w:rPr>
      </w:pPr>
      <w:r>
        <w:rPr>
          <w:rFonts w:ascii="Bookman Old Style" w:hAnsi="Bookman Old Style" w:cs="Arial"/>
        </w:rPr>
        <w:t xml:space="preserve">                </w:t>
      </w:r>
      <w:bookmarkStart w:id="46" w:name="_Toc97823225"/>
      <w:r w:rsidR="00290B2A">
        <w:t xml:space="preserve">Figure </w:t>
      </w:r>
      <w:fldSimple w:instr=" SEQ Figure \* ARABIC ">
        <w:r w:rsidR="004F4E33">
          <w:rPr>
            <w:noProof/>
          </w:rPr>
          <w:t>12</w:t>
        </w:r>
      </w:fldSimple>
      <w:r w:rsidR="00290B2A">
        <w:t> : Sources de remboursement de prêt par Région</w:t>
      </w:r>
      <w:bookmarkEnd w:id="46"/>
    </w:p>
    <w:p w14:paraId="287596D2" w14:textId="7975DF1F" w:rsidR="00837843" w:rsidRPr="001310BC" w:rsidRDefault="00587CA2" w:rsidP="007739CB">
      <w:pPr>
        <w:pStyle w:val="Titre3"/>
        <w:numPr>
          <w:ilvl w:val="2"/>
          <w:numId w:val="3"/>
        </w:numPr>
        <w:rPr>
          <w:rFonts w:ascii="Bookman Old Style" w:hAnsi="Bookman Old Style" w:cs="Arial"/>
          <w:i/>
          <w:iCs/>
        </w:rPr>
      </w:pPr>
      <w:bookmarkStart w:id="47" w:name="_Toc97822364"/>
      <w:r w:rsidRPr="001310BC">
        <w:rPr>
          <w:rFonts w:ascii="Bookman Old Style" w:hAnsi="Bookman Old Style" w:cs="Arial"/>
          <w:i/>
          <w:iCs/>
        </w:rPr>
        <w:t>Situation de remboursement de prêt</w:t>
      </w:r>
      <w:bookmarkEnd w:id="47"/>
    </w:p>
    <w:p w14:paraId="6D5F20AD" w14:textId="0567A0FE" w:rsidR="00125146" w:rsidRDefault="00125146" w:rsidP="00125146">
      <w:pPr>
        <w:tabs>
          <w:tab w:val="left" w:pos="4402"/>
        </w:tabs>
        <w:spacing w:before="240" w:line="276" w:lineRule="auto"/>
        <w:jc w:val="both"/>
        <w:rPr>
          <w:rFonts w:ascii="Bookman Old Style" w:hAnsi="Bookman Old Style" w:cs="Arial"/>
        </w:rPr>
      </w:pPr>
      <w:r>
        <w:rPr>
          <w:rFonts w:ascii="Bookman Old Style" w:hAnsi="Bookman Old Style" w:cs="Arial"/>
        </w:rPr>
        <w:t>La situation des stocks se présente comme suit pour les personnes enquêtées. Sur un total de 8</w:t>
      </w:r>
      <w:r w:rsidR="0053435A">
        <w:rPr>
          <w:rFonts w:ascii="Bookman Old Style" w:hAnsi="Bookman Old Style" w:cs="Arial"/>
        </w:rPr>
        <w:t xml:space="preserve"> </w:t>
      </w:r>
      <w:r>
        <w:rPr>
          <w:rFonts w:ascii="Bookman Old Style" w:hAnsi="Bookman Old Style" w:cs="Arial"/>
        </w:rPr>
        <w:t xml:space="preserve">574 </w:t>
      </w:r>
      <w:proofErr w:type="spellStart"/>
      <w:r>
        <w:rPr>
          <w:rFonts w:ascii="Bookman Old Style" w:hAnsi="Bookman Old Style" w:cs="Arial"/>
        </w:rPr>
        <w:t>tias</w:t>
      </w:r>
      <w:proofErr w:type="spellEnd"/>
      <w:r>
        <w:rPr>
          <w:rFonts w:ascii="Bookman Old Style" w:hAnsi="Bookman Old Style" w:cs="Arial"/>
        </w:rPr>
        <w:t xml:space="preserve"> perçues par les bénéficiaires, 7</w:t>
      </w:r>
      <w:r w:rsidR="0053435A">
        <w:rPr>
          <w:rFonts w:ascii="Bookman Old Style" w:hAnsi="Bookman Old Style" w:cs="Arial"/>
        </w:rPr>
        <w:t xml:space="preserve"> </w:t>
      </w:r>
      <w:r>
        <w:rPr>
          <w:rFonts w:ascii="Bookman Old Style" w:hAnsi="Bookman Old Style" w:cs="Arial"/>
        </w:rPr>
        <w:t xml:space="preserve">454 </w:t>
      </w:r>
      <w:proofErr w:type="spellStart"/>
      <w:r>
        <w:rPr>
          <w:rFonts w:ascii="Bookman Old Style" w:hAnsi="Bookman Old Style" w:cs="Arial"/>
        </w:rPr>
        <w:t>tias</w:t>
      </w:r>
      <w:proofErr w:type="spellEnd"/>
      <w:r>
        <w:rPr>
          <w:rFonts w:ascii="Bookman Old Style" w:hAnsi="Bookman Old Style" w:cs="Arial"/>
        </w:rPr>
        <w:t xml:space="preserve"> ont été remboursées soit un taux de 87%. Le </w:t>
      </w:r>
      <w:r w:rsidR="00B91700">
        <w:rPr>
          <w:rFonts w:ascii="Bookman Old Style" w:hAnsi="Bookman Old Style" w:cs="Arial"/>
        </w:rPr>
        <w:t>figure</w:t>
      </w:r>
      <w:r>
        <w:rPr>
          <w:rFonts w:ascii="Bookman Old Style" w:hAnsi="Bookman Old Style" w:cs="Arial"/>
        </w:rPr>
        <w:t xml:space="preserve"> ci-dessous, on renseigne qu’à la date de l’enquête les bénéficiaires de 3 PDE de Zinder et 1 PDE de Maradi n’ont pas honoré à 100% leurs engagements. De loin les taux de non recouvrement sont très élevé à Zinder avec 40% soit (253 </w:t>
      </w:r>
      <w:proofErr w:type="spellStart"/>
      <w:r>
        <w:rPr>
          <w:rFonts w:ascii="Bookman Old Style" w:hAnsi="Bookman Old Style" w:cs="Arial"/>
        </w:rPr>
        <w:t>tias</w:t>
      </w:r>
      <w:proofErr w:type="spellEnd"/>
      <w:r>
        <w:rPr>
          <w:rFonts w:ascii="Bookman Old Style" w:hAnsi="Bookman Old Style" w:cs="Arial"/>
        </w:rPr>
        <w:t xml:space="preserve">) à Bandé, 50,4% </w:t>
      </w:r>
      <w:r>
        <w:rPr>
          <w:rFonts w:ascii="Bookman Old Style" w:hAnsi="Bookman Old Style" w:cs="Arial"/>
        </w:rPr>
        <w:lastRenderedPageBreak/>
        <w:t xml:space="preserve">soit (574 </w:t>
      </w:r>
      <w:proofErr w:type="spellStart"/>
      <w:r>
        <w:rPr>
          <w:rFonts w:ascii="Bookman Old Style" w:hAnsi="Bookman Old Style" w:cs="Arial"/>
        </w:rPr>
        <w:t>tias</w:t>
      </w:r>
      <w:proofErr w:type="spellEnd"/>
      <w:r>
        <w:rPr>
          <w:rFonts w:ascii="Bookman Old Style" w:hAnsi="Bookman Old Style" w:cs="Arial"/>
        </w:rPr>
        <w:t xml:space="preserve">) à </w:t>
      </w:r>
      <w:proofErr w:type="spellStart"/>
      <w:r>
        <w:rPr>
          <w:rFonts w:ascii="Bookman Old Style" w:hAnsi="Bookman Old Style" w:cs="Arial"/>
        </w:rPr>
        <w:t>Doungou</w:t>
      </w:r>
      <w:proofErr w:type="spellEnd"/>
      <w:r>
        <w:rPr>
          <w:rFonts w:ascii="Bookman Old Style" w:hAnsi="Bookman Old Style" w:cs="Arial"/>
        </w:rPr>
        <w:t xml:space="preserve"> et 43,3% soit (267 </w:t>
      </w:r>
      <w:proofErr w:type="spellStart"/>
      <w:r>
        <w:rPr>
          <w:rFonts w:ascii="Bookman Old Style" w:hAnsi="Bookman Old Style" w:cs="Arial"/>
        </w:rPr>
        <w:t>tias</w:t>
      </w:r>
      <w:proofErr w:type="spellEnd"/>
      <w:r>
        <w:rPr>
          <w:rFonts w:ascii="Bookman Old Style" w:hAnsi="Bookman Old Style" w:cs="Arial"/>
        </w:rPr>
        <w:t xml:space="preserve">) à </w:t>
      </w:r>
      <w:proofErr w:type="spellStart"/>
      <w:r>
        <w:rPr>
          <w:rFonts w:ascii="Bookman Old Style" w:hAnsi="Bookman Old Style" w:cs="Arial"/>
        </w:rPr>
        <w:t>Guidimouni</w:t>
      </w:r>
      <w:proofErr w:type="spellEnd"/>
      <w:r>
        <w:rPr>
          <w:rFonts w:ascii="Bookman Old Style" w:hAnsi="Bookman Old Style" w:cs="Arial"/>
        </w:rPr>
        <w:t xml:space="preserve">. A </w:t>
      </w:r>
      <w:proofErr w:type="spellStart"/>
      <w:r>
        <w:rPr>
          <w:rFonts w:ascii="Bookman Old Style" w:hAnsi="Bookman Old Style" w:cs="Arial"/>
        </w:rPr>
        <w:t>Guidan</w:t>
      </w:r>
      <w:proofErr w:type="spellEnd"/>
      <w:r>
        <w:rPr>
          <w:rFonts w:ascii="Bookman Old Style" w:hAnsi="Bookman Old Style" w:cs="Arial"/>
        </w:rPr>
        <w:t xml:space="preserve"> </w:t>
      </w:r>
      <w:proofErr w:type="spellStart"/>
      <w:r>
        <w:rPr>
          <w:rFonts w:ascii="Bookman Old Style" w:hAnsi="Bookman Old Style" w:cs="Arial"/>
        </w:rPr>
        <w:t>roumdji</w:t>
      </w:r>
      <w:proofErr w:type="spellEnd"/>
      <w:r>
        <w:rPr>
          <w:rFonts w:ascii="Bookman Old Style" w:hAnsi="Bookman Old Style" w:cs="Arial"/>
        </w:rPr>
        <w:t xml:space="preserve">, le taux est de 2,8% soit (26 </w:t>
      </w:r>
      <w:proofErr w:type="spellStart"/>
      <w:r>
        <w:rPr>
          <w:rFonts w:ascii="Bookman Old Style" w:hAnsi="Bookman Old Style" w:cs="Arial"/>
        </w:rPr>
        <w:t>tias</w:t>
      </w:r>
      <w:proofErr w:type="spellEnd"/>
      <w:r>
        <w:rPr>
          <w:rFonts w:ascii="Bookman Old Style" w:hAnsi="Bookman Old Style" w:cs="Arial"/>
        </w:rPr>
        <w:t xml:space="preserve">).  </w:t>
      </w:r>
    </w:p>
    <w:p w14:paraId="2A4AC0F3" w14:textId="77777777" w:rsidR="00125146" w:rsidRDefault="00125146" w:rsidP="00F61B5D">
      <w:pPr>
        <w:tabs>
          <w:tab w:val="left" w:pos="4402"/>
        </w:tabs>
        <w:spacing w:line="276" w:lineRule="auto"/>
        <w:jc w:val="both"/>
        <w:rPr>
          <w:rFonts w:ascii="Bookman Old Style" w:hAnsi="Bookman Old Style" w:cs="Arial"/>
        </w:rPr>
      </w:pPr>
    </w:p>
    <w:p w14:paraId="4B8836B8" w14:textId="7225042C" w:rsidR="00F61B5D" w:rsidRDefault="00F61B5D" w:rsidP="00F61B5D">
      <w:pPr>
        <w:tabs>
          <w:tab w:val="left" w:pos="4402"/>
        </w:tabs>
        <w:spacing w:line="276" w:lineRule="auto"/>
        <w:jc w:val="center"/>
        <w:rPr>
          <w:rFonts w:ascii="Bookman Old Style" w:hAnsi="Bookman Old Style" w:cs="Arial"/>
        </w:rPr>
      </w:pPr>
      <w:r>
        <w:rPr>
          <w:noProof/>
        </w:rPr>
        <w:drawing>
          <wp:inline distT="0" distB="0" distL="0" distR="0" wp14:anchorId="111DF988" wp14:editId="2ED03B4E">
            <wp:extent cx="4572000" cy="2552700"/>
            <wp:effectExtent l="0" t="0" r="0" b="0"/>
            <wp:docPr id="3" name="Graphique 3">
              <a:extLst xmlns:a="http://schemas.openxmlformats.org/drawingml/2006/main">
                <a:ext uri="{FF2B5EF4-FFF2-40B4-BE49-F238E27FC236}">
                  <a16:creationId xmlns:a16="http://schemas.microsoft.com/office/drawing/2014/main" id="{ADFBA89D-D5F0-42ED-8571-847E80B04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86A356" w14:textId="1C5D5DE7" w:rsidR="000E18CE" w:rsidRPr="000E18CE" w:rsidRDefault="00C85B40" w:rsidP="003D37B5">
      <w:pPr>
        <w:pStyle w:val="Lgende"/>
        <w:rPr>
          <w:rFonts w:ascii="Bookman Old Style" w:hAnsi="Bookman Old Style" w:cs="Arial"/>
        </w:rPr>
      </w:pPr>
      <w:r>
        <w:rPr>
          <w:rFonts w:ascii="Bookman Old Style" w:hAnsi="Bookman Old Style" w:cs="Arial"/>
        </w:rPr>
        <w:t xml:space="preserve">                </w:t>
      </w:r>
      <w:bookmarkStart w:id="48" w:name="_Toc97823226"/>
      <w:r w:rsidR="00290B2A">
        <w:t xml:space="preserve">Figure </w:t>
      </w:r>
      <w:fldSimple w:instr=" SEQ Figure \* ARABIC ">
        <w:r w:rsidR="004F4E33">
          <w:rPr>
            <w:noProof/>
          </w:rPr>
          <w:t>13</w:t>
        </w:r>
      </w:fldSimple>
      <w:r w:rsidR="00290B2A">
        <w:t> : Situation de remboursement de prêt</w:t>
      </w:r>
      <w:bookmarkEnd w:id="48"/>
    </w:p>
    <w:p w14:paraId="22ABAB96" w14:textId="78B31F7A" w:rsidR="00EA40B2" w:rsidRPr="00CA349D" w:rsidRDefault="00EA40B2" w:rsidP="00CC71A8">
      <w:pPr>
        <w:pStyle w:val="Titre2"/>
        <w:numPr>
          <w:ilvl w:val="1"/>
          <w:numId w:val="3"/>
        </w:numPr>
        <w:rPr>
          <w:rFonts w:ascii="Bookman Old Style" w:hAnsi="Bookman Old Style" w:cs="Arial"/>
          <w:b/>
          <w:bCs/>
        </w:rPr>
      </w:pPr>
      <w:bookmarkStart w:id="49" w:name="_Toc97822365"/>
      <w:r w:rsidRPr="00CA349D">
        <w:rPr>
          <w:rFonts w:ascii="Bookman Old Style" w:hAnsi="Bookman Old Style" w:cs="Arial"/>
          <w:b/>
          <w:bCs/>
        </w:rPr>
        <w:t>Effets-impacts de GFS</w:t>
      </w:r>
      <w:bookmarkEnd w:id="49"/>
    </w:p>
    <w:p w14:paraId="7C3CE502" w14:textId="444E5756" w:rsidR="00EA40B2" w:rsidRPr="001310BC" w:rsidRDefault="00CA349D" w:rsidP="007739CB">
      <w:pPr>
        <w:pStyle w:val="Titre3"/>
        <w:numPr>
          <w:ilvl w:val="2"/>
          <w:numId w:val="3"/>
        </w:numPr>
        <w:rPr>
          <w:rFonts w:ascii="Bookman Old Style" w:hAnsi="Bookman Old Style" w:cs="Arial"/>
          <w:i/>
          <w:iCs/>
        </w:rPr>
      </w:pPr>
      <w:bookmarkStart w:id="50" w:name="_Toc97822366"/>
      <w:r w:rsidRPr="001310BC">
        <w:rPr>
          <w:rFonts w:ascii="Bookman Old Style" w:hAnsi="Bookman Old Style" w:cs="Arial"/>
          <w:i/>
          <w:iCs/>
        </w:rPr>
        <w:t>Réduction de nombre de jour</w:t>
      </w:r>
      <w:r w:rsidR="00EA40B2" w:rsidRPr="001310BC">
        <w:rPr>
          <w:rFonts w:ascii="Bookman Old Style" w:hAnsi="Bookman Old Style" w:cs="Arial"/>
          <w:i/>
          <w:iCs/>
        </w:rPr>
        <w:t xml:space="preserve"> de soudure</w:t>
      </w:r>
      <w:bookmarkEnd w:id="50"/>
    </w:p>
    <w:p w14:paraId="17C9E8D8" w14:textId="038E46FE" w:rsidR="00CA349D" w:rsidRDefault="00CA349D" w:rsidP="00B1073F">
      <w:pPr>
        <w:tabs>
          <w:tab w:val="left" w:pos="4402"/>
        </w:tabs>
        <w:spacing w:line="276" w:lineRule="auto"/>
        <w:jc w:val="both"/>
        <w:rPr>
          <w:rFonts w:ascii="Bookman Old Style" w:hAnsi="Bookman Old Style" w:cs="Arial"/>
        </w:rPr>
      </w:pPr>
    </w:p>
    <w:p w14:paraId="04D8675C" w14:textId="22EF69E3" w:rsidR="00CA349D" w:rsidRPr="003C2818" w:rsidRDefault="00CA349D" w:rsidP="00553DCE">
      <w:pPr>
        <w:tabs>
          <w:tab w:val="left" w:pos="4402"/>
        </w:tabs>
        <w:spacing w:line="276" w:lineRule="auto"/>
        <w:rPr>
          <w:rFonts w:ascii="Bookman Old Style" w:hAnsi="Bookman Old Style" w:cs="Arial"/>
          <w:b/>
          <w:bCs/>
          <w:i/>
          <w:iCs/>
        </w:rPr>
      </w:pPr>
      <w:r w:rsidRPr="003C2818">
        <w:rPr>
          <w:rFonts w:ascii="Bookman Old Style" w:hAnsi="Bookman Old Style" w:cs="Arial"/>
          <w:b/>
          <w:bCs/>
          <w:i/>
          <w:iCs/>
        </w:rPr>
        <w:t>Durée d’autoconsommation des vivres reçus à la 1ère cession</w:t>
      </w:r>
    </w:p>
    <w:p w14:paraId="7D01F5FB" w14:textId="56DE41EE" w:rsidR="00CA349D" w:rsidRDefault="001F3DD8" w:rsidP="006C6ED5">
      <w:pPr>
        <w:tabs>
          <w:tab w:val="left" w:pos="4402"/>
        </w:tabs>
        <w:spacing w:before="240" w:line="276" w:lineRule="auto"/>
        <w:jc w:val="both"/>
        <w:rPr>
          <w:rFonts w:ascii="Bookman Old Style" w:hAnsi="Bookman Old Style" w:cs="Arial"/>
        </w:rPr>
      </w:pPr>
      <w:r>
        <w:rPr>
          <w:rFonts w:ascii="Bookman Old Style" w:hAnsi="Bookman Old Style" w:cs="Arial"/>
        </w:rPr>
        <w:t xml:space="preserve">La durée d’autoconsommation des vivres reçus de GFS varie d’une (1) semaine à plus d’un (1) mois. Toutefois, le temps ou la durée dépend entre autres de l’état de stock alimentaire, de la taille </w:t>
      </w:r>
      <w:r w:rsidR="006B735B">
        <w:rPr>
          <w:rFonts w:ascii="Bookman Old Style" w:hAnsi="Bookman Old Style" w:cs="Arial"/>
        </w:rPr>
        <w:t xml:space="preserve">du ménage </w:t>
      </w:r>
      <w:r>
        <w:rPr>
          <w:rFonts w:ascii="Bookman Old Style" w:hAnsi="Bookman Old Style" w:cs="Arial"/>
        </w:rPr>
        <w:t>mais aussi de la quantité reçue. De façon globale, on relève que</w:t>
      </w:r>
      <w:r w:rsidR="00560FA9">
        <w:rPr>
          <w:rFonts w:ascii="Bookman Old Style" w:hAnsi="Bookman Old Style" w:cs="Arial"/>
        </w:rPr>
        <w:t xml:space="preserve"> 37% des répondants ont déclaré une autoconsommation de 2 semaines. Cette catégorie est suivie de celle déclarant 1 mois d’autoconsommation (21%). Seuls 5% ont une autoconsommation de plus de 1 mois.</w:t>
      </w:r>
      <w:r>
        <w:rPr>
          <w:rFonts w:ascii="Bookman Old Style" w:hAnsi="Bookman Old Style" w:cs="Arial"/>
        </w:rPr>
        <w:t xml:space="preserve"> </w:t>
      </w:r>
    </w:p>
    <w:p w14:paraId="63CA6B10" w14:textId="77777777" w:rsidR="00B07FF0" w:rsidRDefault="00B07FF0" w:rsidP="007B5322">
      <w:pPr>
        <w:tabs>
          <w:tab w:val="left" w:pos="4402"/>
        </w:tabs>
        <w:spacing w:line="276" w:lineRule="auto"/>
        <w:jc w:val="both"/>
        <w:rPr>
          <w:rFonts w:ascii="Bookman Old Style" w:hAnsi="Bookman Old Style" w:cs="Arial"/>
        </w:rPr>
      </w:pPr>
    </w:p>
    <w:p w14:paraId="62DD919B" w14:textId="506C5CFF" w:rsidR="004E2AE2" w:rsidRDefault="00B07FF0" w:rsidP="00B4164B">
      <w:pPr>
        <w:pStyle w:val="Lgende"/>
        <w:spacing w:after="0"/>
        <w:rPr>
          <w:rFonts w:ascii="Bookman Old Style" w:hAnsi="Bookman Old Style" w:cs="Arial"/>
        </w:rPr>
      </w:pPr>
      <w:bookmarkStart w:id="51" w:name="_Toc97822385"/>
      <w:r>
        <w:t xml:space="preserve">Tableau </w:t>
      </w:r>
      <w:fldSimple w:instr=" SEQ Tableau \* ARABIC ">
        <w:r w:rsidR="00275B4D">
          <w:rPr>
            <w:noProof/>
          </w:rPr>
          <w:t>6</w:t>
        </w:r>
      </w:fldSimple>
      <w:r>
        <w:t> : Durée d’autoconsommation des vivres 1</w:t>
      </w:r>
      <w:r w:rsidRPr="003D37B5">
        <w:rPr>
          <w:vertAlign w:val="superscript"/>
        </w:rPr>
        <w:t>ère</w:t>
      </w:r>
      <w:r>
        <w:t xml:space="preserve"> cession</w:t>
      </w:r>
      <w:bookmarkEnd w:id="5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412"/>
        <w:gridCol w:w="1275"/>
        <w:gridCol w:w="1276"/>
        <w:gridCol w:w="1276"/>
        <w:gridCol w:w="850"/>
        <w:gridCol w:w="1277"/>
      </w:tblGrid>
      <w:tr w:rsidR="00CA349D" w:rsidRPr="00990D0F" w14:paraId="7B3FEE5F" w14:textId="77777777" w:rsidTr="00560FA9">
        <w:trPr>
          <w:trHeight w:val="264"/>
          <w:tblHeader/>
        </w:trPr>
        <w:tc>
          <w:tcPr>
            <w:tcW w:w="1985" w:type="dxa"/>
            <w:shd w:val="clear" w:color="D9E7FD" w:fill="D9E7FD"/>
            <w:noWrap/>
            <w:vAlign w:val="center"/>
            <w:hideMark/>
          </w:tcPr>
          <w:p w14:paraId="4F469BEA" w14:textId="77777777" w:rsidR="00CA349D" w:rsidRPr="00990D0F" w:rsidRDefault="00CA349D" w:rsidP="00A73DE8">
            <w:pPr>
              <w:jc w:val="center"/>
              <w:rPr>
                <w:rFonts w:ascii="Arial" w:hAnsi="Arial" w:cs="Arial"/>
                <w:b/>
                <w:bCs/>
                <w:color w:val="000000"/>
                <w:sz w:val="20"/>
                <w:szCs w:val="20"/>
              </w:rPr>
            </w:pPr>
            <w:r w:rsidRPr="00990D0F">
              <w:rPr>
                <w:rFonts w:ascii="Arial" w:hAnsi="Arial" w:cs="Arial"/>
                <w:b/>
                <w:bCs/>
                <w:color w:val="000000"/>
                <w:sz w:val="20"/>
                <w:szCs w:val="20"/>
              </w:rPr>
              <w:t>Région/PDE</w:t>
            </w:r>
          </w:p>
        </w:tc>
        <w:tc>
          <w:tcPr>
            <w:tcW w:w="1412" w:type="dxa"/>
            <w:shd w:val="clear" w:color="D9E7FD" w:fill="D9E7FD"/>
            <w:noWrap/>
            <w:vAlign w:val="center"/>
            <w:hideMark/>
          </w:tcPr>
          <w:p w14:paraId="1C200D00" w14:textId="77777777" w:rsidR="00125146" w:rsidRDefault="00CA349D" w:rsidP="00A73DE8">
            <w:pPr>
              <w:jc w:val="center"/>
              <w:rPr>
                <w:rFonts w:ascii="Arial" w:hAnsi="Arial" w:cs="Arial"/>
                <w:b/>
                <w:bCs/>
                <w:color w:val="000000"/>
                <w:sz w:val="20"/>
                <w:szCs w:val="20"/>
              </w:rPr>
            </w:pPr>
            <w:proofErr w:type="spellStart"/>
            <w:r w:rsidRPr="00990D0F">
              <w:rPr>
                <w:rFonts w:ascii="Arial" w:hAnsi="Arial" w:cs="Arial"/>
                <w:b/>
                <w:bCs/>
                <w:color w:val="000000"/>
                <w:sz w:val="20"/>
                <w:szCs w:val="20"/>
              </w:rPr>
              <w:t>Moy</w:t>
            </w:r>
            <w:proofErr w:type="spellEnd"/>
            <w:r>
              <w:rPr>
                <w:rFonts w:ascii="Arial" w:hAnsi="Arial" w:cs="Arial"/>
                <w:b/>
                <w:bCs/>
                <w:color w:val="000000"/>
                <w:sz w:val="20"/>
                <w:szCs w:val="20"/>
              </w:rPr>
              <w:t>.</w:t>
            </w:r>
            <w:r w:rsidRPr="00990D0F">
              <w:rPr>
                <w:rFonts w:ascii="Arial" w:hAnsi="Arial" w:cs="Arial"/>
                <w:b/>
                <w:bCs/>
                <w:color w:val="000000"/>
                <w:sz w:val="20"/>
                <w:szCs w:val="20"/>
              </w:rPr>
              <w:t xml:space="preserve"> Qtit</w:t>
            </w:r>
            <w:r>
              <w:rPr>
                <w:rFonts w:ascii="Arial" w:hAnsi="Arial" w:cs="Arial"/>
                <w:b/>
                <w:bCs/>
                <w:color w:val="000000"/>
                <w:sz w:val="20"/>
                <w:szCs w:val="20"/>
              </w:rPr>
              <w:t>é</w:t>
            </w:r>
            <w:r w:rsidR="00125146">
              <w:rPr>
                <w:rFonts w:ascii="Arial" w:hAnsi="Arial" w:cs="Arial"/>
                <w:b/>
                <w:bCs/>
                <w:color w:val="000000"/>
                <w:sz w:val="20"/>
                <w:szCs w:val="20"/>
              </w:rPr>
              <w:t xml:space="preserve"> </w:t>
            </w:r>
          </w:p>
          <w:p w14:paraId="62D8320D" w14:textId="2C0C8CEB" w:rsidR="00CA349D" w:rsidRPr="00990D0F" w:rsidRDefault="00125146" w:rsidP="00A73DE8">
            <w:pPr>
              <w:jc w:val="center"/>
              <w:rPr>
                <w:rFonts w:ascii="Arial" w:hAnsi="Arial" w:cs="Arial"/>
                <w:b/>
                <w:bCs/>
                <w:color w:val="000000"/>
                <w:sz w:val="20"/>
                <w:szCs w:val="20"/>
              </w:rPr>
            </w:pPr>
            <w:proofErr w:type="gramStart"/>
            <w:r w:rsidRPr="00990D0F">
              <w:rPr>
                <w:rFonts w:ascii="Arial" w:hAnsi="Arial" w:cs="Arial"/>
                <w:b/>
                <w:bCs/>
                <w:color w:val="000000"/>
                <w:sz w:val="20"/>
                <w:szCs w:val="20"/>
              </w:rPr>
              <w:t>reçu</w:t>
            </w:r>
            <w:proofErr w:type="gramEnd"/>
            <w:r>
              <w:rPr>
                <w:rFonts w:ascii="Arial" w:hAnsi="Arial" w:cs="Arial"/>
                <w:b/>
                <w:bCs/>
                <w:color w:val="000000"/>
                <w:sz w:val="20"/>
                <w:szCs w:val="20"/>
              </w:rPr>
              <w:t xml:space="preserve"> </w:t>
            </w:r>
            <w:r w:rsidR="00CA349D" w:rsidRPr="00990D0F">
              <w:rPr>
                <w:rFonts w:ascii="Arial" w:hAnsi="Arial" w:cs="Arial"/>
                <w:b/>
                <w:bCs/>
                <w:color w:val="000000"/>
                <w:sz w:val="20"/>
                <w:szCs w:val="20"/>
              </w:rPr>
              <w:t>1</w:t>
            </w:r>
          </w:p>
        </w:tc>
        <w:tc>
          <w:tcPr>
            <w:tcW w:w="1275" w:type="dxa"/>
            <w:shd w:val="clear" w:color="D9E7FD" w:fill="D9E7FD"/>
            <w:noWrap/>
            <w:vAlign w:val="center"/>
            <w:hideMark/>
          </w:tcPr>
          <w:p w14:paraId="1B0518F5" w14:textId="77777777" w:rsidR="00CA349D" w:rsidRPr="00990D0F" w:rsidRDefault="00CA349D" w:rsidP="00A73DE8">
            <w:pPr>
              <w:jc w:val="center"/>
              <w:rPr>
                <w:rFonts w:ascii="Arial" w:hAnsi="Arial" w:cs="Arial"/>
                <w:b/>
                <w:bCs/>
                <w:color w:val="000000"/>
                <w:sz w:val="20"/>
                <w:szCs w:val="20"/>
              </w:rPr>
            </w:pPr>
            <w:r w:rsidRPr="00990D0F">
              <w:rPr>
                <w:rFonts w:ascii="Arial" w:hAnsi="Arial" w:cs="Arial"/>
                <w:b/>
                <w:bCs/>
                <w:color w:val="000000"/>
                <w:sz w:val="20"/>
                <w:szCs w:val="20"/>
              </w:rPr>
              <w:t>1 Semaine</w:t>
            </w:r>
          </w:p>
        </w:tc>
        <w:tc>
          <w:tcPr>
            <w:tcW w:w="1276" w:type="dxa"/>
            <w:shd w:val="clear" w:color="D9E7FD" w:fill="D9E7FD"/>
            <w:noWrap/>
            <w:vAlign w:val="center"/>
            <w:hideMark/>
          </w:tcPr>
          <w:p w14:paraId="2D9B28A0" w14:textId="77777777" w:rsidR="00CA349D" w:rsidRPr="00990D0F" w:rsidRDefault="00CA349D" w:rsidP="00A73DE8">
            <w:pPr>
              <w:jc w:val="center"/>
              <w:rPr>
                <w:rFonts w:ascii="Arial" w:hAnsi="Arial" w:cs="Arial"/>
                <w:b/>
                <w:bCs/>
                <w:color w:val="000000"/>
                <w:sz w:val="20"/>
                <w:szCs w:val="20"/>
              </w:rPr>
            </w:pPr>
            <w:r w:rsidRPr="00990D0F">
              <w:rPr>
                <w:rFonts w:ascii="Arial" w:hAnsi="Arial" w:cs="Arial"/>
                <w:b/>
                <w:bCs/>
                <w:color w:val="000000"/>
                <w:sz w:val="20"/>
                <w:szCs w:val="20"/>
              </w:rPr>
              <w:t>2 Semaines</w:t>
            </w:r>
          </w:p>
        </w:tc>
        <w:tc>
          <w:tcPr>
            <w:tcW w:w="1276" w:type="dxa"/>
            <w:shd w:val="clear" w:color="D9E7FD" w:fill="D9E7FD"/>
            <w:noWrap/>
            <w:vAlign w:val="center"/>
            <w:hideMark/>
          </w:tcPr>
          <w:p w14:paraId="34724FC0" w14:textId="77777777" w:rsidR="00CA349D" w:rsidRPr="00990D0F" w:rsidRDefault="00CA349D" w:rsidP="00A73DE8">
            <w:pPr>
              <w:jc w:val="center"/>
              <w:rPr>
                <w:rFonts w:ascii="Arial" w:hAnsi="Arial" w:cs="Arial"/>
                <w:b/>
                <w:bCs/>
                <w:color w:val="000000"/>
                <w:sz w:val="20"/>
                <w:szCs w:val="20"/>
              </w:rPr>
            </w:pPr>
            <w:r w:rsidRPr="00990D0F">
              <w:rPr>
                <w:rFonts w:ascii="Arial" w:hAnsi="Arial" w:cs="Arial"/>
                <w:b/>
                <w:bCs/>
                <w:color w:val="000000"/>
                <w:sz w:val="20"/>
                <w:szCs w:val="20"/>
              </w:rPr>
              <w:t>3 Semaines</w:t>
            </w:r>
          </w:p>
        </w:tc>
        <w:tc>
          <w:tcPr>
            <w:tcW w:w="850" w:type="dxa"/>
            <w:shd w:val="clear" w:color="D9E7FD" w:fill="D9E7FD"/>
            <w:noWrap/>
            <w:vAlign w:val="center"/>
            <w:hideMark/>
          </w:tcPr>
          <w:p w14:paraId="206A597C" w14:textId="77777777" w:rsidR="00CA349D" w:rsidRPr="00990D0F" w:rsidRDefault="00CA349D" w:rsidP="00A73DE8">
            <w:pPr>
              <w:jc w:val="center"/>
              <w:rPr>
                <w:rFonts w:ascii="Arial" w:hAnsi="Arial" w:cs="Arial"/>
                <w:b/>
                <w:bCs/>
                <w:color w:val="000000"/>
                <w:sz w:val="20"/>
                <w:szCs w:val="20"/>
              </w:rPr>
            </w:pPr>
            <w:r w:rsidRPr="00990D0F">
              <w:rPr>
                <w:rFonts w:ascii="Arial" w:hAnsi="Arial" w:cs="Arial"/>
                <w:b/>
                <w:bCs/>
                <w:color w:val="000000"/>
                <w:sz w:val="20"/>
                <w:szCs w:val="20"/>
              </w:rPr>
              <w:t>1 Mois</w:t>
            </w:r>
          </w:p>
        </w:tc>
        <w:tc>
          <w:tcPr>
            <w:tcW w:w="1277" w:type="dxa"/>
            <w:shd w:val="clear" w:color="D9E7FD" w:fill="D9E7FD"/>
            <w:noWrap/>
            <w:vAlign w:val="center"/>
            <w:hideMark/>
          </w:tcPr>
          <w:p w14:paraId="43A662A1" w14:textId="77777777" w:rsidR="00125146" w:rsidRDefault="00CA349D" w:rsidP="00A73DE8">
            <w:pPr>
              <w:jc w:val="center"/>
              <w:rPr>
                <w:rFonts w:ascii="Arial" w:hAnsi="Arial" w:cs="Arial"/>
                <w:b/>
                <w:bCs/>
                <w:color w:val="000000"/>
                <w:sz w:val="20"/>
                <w:szCs w:val="20"/>
              </w:rPr>
            </w:pPr>
            <w:r w:rsidRPr="00990D0F">
              <w:rPr>
                <w:rFonts w:ascii="Arial" w:hAnsi="Arial" w:cs="Arial"/>
                <w:b/>
                <w:bCs/>
                <w:color w:val="000000"/>
                <w:sz w:val="20"/>
                <w:szCs w:val="20"/>
              </w:rPr>
              <w:t>Plus de</w:t>
            </w:r>
          </w:p>
          <w:p w14:paraId="2AF7B0A2" w14:textId="6F30F14F" w:rsidR="00CA349D" w:rsidRPr="00990D0F" w:rsidRDefault="00CA349D" w:rsidP="00A73DE8">
            <w:pPr>
              <w:jc w:val="center"/>
              <w:rPr>
                <w:rFonts w:ascii="Arial" w:hAnsi="Arial" w:cs="Arial"/>
                <w:b/>
                <w:bCs/>
                <w:color w:val="000000"/>
                <w:sz w:val="20"/>
                <w:szCs w:val="20"/>
              </w:rPr>
            </w:pPr>
            <w:r w:rsidRPr="00990D0F">
              <w:rPr>
                <w:rFonts w:ascii="Arial" w:hAnsi="Arial" w:cs="Arial"/>
                <w:b/>
                <w:bCs/>
                <w:color w:val="000000"/>
                <w:sz w:val="20"/>
                <w:szCs w:val="20"/>
              </w:rPr>
              <w:t xml:space="preserve"> 1 mois</w:t>
            </w:r>
          </w:p>
        </w:tc>
      </w:tr>
      <w:tr w:rsidR="00CA349D" w:rsidRPr="00990D0F" w14:paraId="290CCC8A" w14:textId="77777777" w:rsidTr="00E77FBC">
        <w:trPr>
          <w:trHeight w:val="264"/>
        </w:trPr>
        <w:tc>
          <w:tcPr>
            <w:tcW w:w="1985" w:type="dxa"/>
            <w:shd w:val="clear" w:color="auto" w:fill="FBD4B4" w:themeFill="accent6" w:themeFillTint="66"/>
            <w:noWrap/>
            <w:vAlign w:val="center"/>
            <w:hideMark/>
          </w:tcPr>
          <w:p w14:paraId="5EA8A334" w14:textId="77777777" w:rsidR="00CA349D" w:rsidRPr="00990D0F" w:rsidRDefault="00CA349D" w:rsidP="001F3DD8">
            <w:pPr>
              <w:rPr>
                <w:rFonts w:ascii="Arial" w:hAnsi="Arial" w:cs="Arial"/>
                <w:b/>
                <w:bCs/>
                <w:color w:val="000000"/>
                <w:sz w:val="20"/>
                <w:szCs w:val="20"/>
              </w:rPr>
            </w:pPr>
            <w:r w:rsidRPr="00990D0F">
              <w:rPr>
                <w:rFonts w:ascii="Arial" w:hAnsi="Arial" w:cs="Arial"/>
                <w:b/>
                <w:bCs/>
                <w:color w:val="000000"/>
                <w:sz w:val="20"/>
                <w:szCs w:val="20"/>
              </w:rPr>
              <w:t>Maradi</w:t>
            </w:r>
          </w:p>
        </w:tc>
        <w:tc>
          <w:tcPr>
            <w:tcW w:w="1412" w:type="dxa"/>
            <w:shd w:val="clear" w:color="auto" w:fill="FBD4B4" w:themeFill="accent6" w:themeFillTint="66"/>
            <w:noWrap/>
            <w:vAlign w:val="center"/>
            <w:hideMark/>
          </w:tcPr>
          <w:p w14:paraId="0689E2ED"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13</w:t>
            </w:r>
          </w:p>
        </w:tc>
        <w:tc>
          <w:tcPr>
            <w:tcW w:w="1275" w:type="dxa"/>
            <w:shd w:val="clear" w:color="auto" w:fill="FBD4B4" w:themeFill="accent6" w:themeFillTint="66"/>
            <w:noWrap/>
            <w:vAlign w:val="center"/>
            <w:hideMark/>
          </w:tcPr>
          <w:p w14:paraId="72D35A30"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24</w:t>
            </w:r>
          </w:p>
        </w:tc>
        <w:tc>
          <w:tcPr>
            <w:tcW w:w="1276" w:type="dxa"/>
            <w:shd w:val="clear" w:color="auto" w:fill="FBD4B4" w:themeFill="accent6" w:themeFillTint="66"/>
            <w:noWrap/>
            <w:vAlign w:val="center"/>
            <w:hideMark/>
          </w:tcPr>
          <w:p w14:paraId="3137D734"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36</w:t>
            </w:r>
          </w:p>
        </w:tc>
        <w:tc>
          <w:tcPr>
            <w:tcW w:w="1276" w:type="dxa"/>
            <w:shd w:val="clear" w:color="auto" w:fill="FBD4B4" w:themeFill="accent6" w:themeFillTint="66"/>
            <w:noWrap/>
            <w:vAlign w:val="center"/>
            <w:hideMark/>
          </w:tcPr>
          <w:p w14:paraId="4647B1CB"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8</w:t>
            </w:r>
          </w:p>
        </w:tc>
        <w:tc>
          <w:tcPr>
            <w:tcW w:w="850" w:type="dxa"/>
            <w:shd w:val="clear" w:color="auto" w:fill="FBD4B4" w:themeFill="accent6" w:themeFillTint="66"/>
            <w:noWrap/>
            <w:vAlign w:val="center"/>
            <w:hideMark/>
          </w:tcPr>
          <w:p w14:paraId="477C92A9"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7</w:t>
            </w:r>
          </w:p>
        </w:tc>
        <w:tc>
          <w:tcPr>
            <w:tcW w:w="1277" w:type="dxa"/>
            <w:shd w:val="clear" w:color="auto" w:fill="FBD4B4" w:themeFill="accent6" w:themeFillTint="66"/>
            <w:noWrap/>
            <w:vAlign w:val="center"/>
            <w:hideMark/>
          </w:tcPr>
          <w:p w14:paraId="1113360A"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2</w:t>
            </w:r>
          </w:p>
        </w:tc>
      </w:tr>
      <w:tr w:rsidR="00CA349D" w:rsidRPr="00990D0F" w14:paraId="5823255D" w14:textId="77777777" w:rsidTr="001F3DD8">
        <w:trPr>
          <w:trHeight w:val="264"/>
        </w:trPr>
        <w:tc>
          <w:tcPr>
            <w:tcW w:w="1985" w:type="dxa"/>
            <w:shd w:val="clear" w:color="auto" w:fill="auto"/>
            <w:noWrap/>
            <w:vAlign w:val="center"/>
            <w:hideMark/>
          </w:tcPr>
          <w:p w14:paraId="6B0F98BB" w14:textId="14133FA5" w:rsidR="00CA349D" w:rsidRPr="00990D0F" w:rsidRDefault="00CA349D" w:rsidP="001F3DD8">
            <w:pPr>
              <w:ind w:firstLineChars="100" w:firstLine="200"/>
              <w:rPr>
                <w:rFonts w:ascii="Arial" w:hAnsi="Arial" w:cs="Arial"/>
                <w:color w:val="000000"/>
                <w:sz w:val="20"/>
                <w:szCs w:val="20"/>
              </w:rPr>
            </w:pPr>
            <w:proofErr w:type="spellStart"/>
            <w:r w:rsidRPr="00990D0F">
              <w:rPr>
                <w:rFonts w:ascii="Arial" w:hAnsi="Arial" w:cs="Arial"/>
                <w:color w:val="000000"/>
                <w:sz w:val="20"/>
                <w:szCs w:val="20"/>
              </w:rPr>
              <w:t>Guidan</w:t>
            </w:r>
            <w:proofErr w:type="spellEnd"/>
            <w:r w:rsidR="00E77FBC">
              <w:rPr>
                <w:rFonts w:ascii="Arial" w:hAnsi="Arial" w:cs="Arial"/>
                <w:color w:val="000000"/>
                <w:sz w:val="20"/>
                <w:szCs w:val="20"/>
              </w:rPr>
              <w:t xml:space="preserve"> </w:t>
            </w:r>
            <w:proofErr w:type="spellStart"/>
            <w:r w:rsidRPr="00990D0F">
              <w:rPr>
                <w:rFonts w:ascii="Arial" w:hAnsi="Arial" w:cs="Arial"/>
                <w:color w:val="000000"/>
                <w:sz w:val="20"/>
                <w:szCs w:val="20"/>
              </w:rPr>
              <w:t>Roumdji</w:t>
            </w:r>
            <w:proofErr w:type="spellEnd"/>
          </w:p>
        </w:tc>
        <w:tc>
          <w:tcPr>
            <w:tcW w:w="1412" w:type="dxa"/>
            <w:shd w:val="clear" w:color="auto" w:fill="auto"/>
            <w:noWrap/>
            <w:vAlign w:val="center"/>
            <w:hideMark/>
          </w:tcPr>
          <w:p w14:paraId="50632C87"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14</w:t>
            </w:r>
          </w:p>
        </w:tc>
        <w:tc>
          <w:tcPr>
            <w:tcW w:w="1275" w:type="dxa"/>
            <w:shd w:val="clear" w:color="auto" w:fill="auto"/>
            <w:noWrap/>
            <w:vAlign w:val="center"/>
            <w:hideMark/>
          </w:tcPr>
          <w:p w14:paraId="07B014C8"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9</w:t>
            </w:r>
          </w:p>
        </w:tc>
        <w:tc>
          <w:tcPr>
            <w:tcW w:w="1276" w:type="dxa"/>
            <w:shd w:val="clear" w:color="auto" w:fill="auto"/>
            <w:noWrap/>
            <w:vAlign w:val="center"/>
            <w:hideMark/>
          </w:tcPr>
          <w:p w14:paraId="0919F90D"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12</w:t>
            </w:r>
          </w:p>
        </w:tc>
        <w:tc>
          <w:tcPr>
            <w:tcW w:w="1276" w:type="dxa"/>
            <w:shd w:val="clear" w:color="auto" w:fill="auto"/>
            <w:noWrap/>
            <w:vAlign w:val="center"/>
            <w:hideMark/>
          </w:tcPr>
          <w:p w14:paraId="44742AA2"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5</w:t>
            </w:r>
          </w:p>
        </w:tc>
        <w:tc>
          <w:tcPr>
            <w:tcW w:w="850" w:type="dxa"/>
            <w:shd w:val="clear" w:color="auto" w:fill="auto"/>
            <w:noWrap/>
            <w:vAlign w:val="center"/>
            <w:hideMark/>
          </w:tcPr>
          <w:p w14:paraId="37946A8F"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4</w:t>
            </w:r>
          </w:p>
        </w:tc>
        <w:tc>
          <w:tcPr>
            <w:tcW w:w="1277" w:type="dxa"/>
            <w:shd w:val="clear" w:color="auto" w:fill="auto"/>
            <w:noWrap/>
            <w:vAlign w:val="center"/>
            <w:hideMark/>
          </w:tcPr>
          <w:p w14:paraId="53C8C464" w14:textId="77777777" w:rsidR="00CA349D" w:rsidRPr="00990D0F" w:rsidRDefault="00CA349D" w:rsidP="001F3DD8">
            <w:pPr>
              <w:jc w:val="right"/>
              <w:rPr>
                <w:rFonts w:ascii="Arial" w:hAnsi="Arial" w:cs="Arial"/>
                <w:color w:val="000000"/>
                <w:sz w:val="20"/>
                <w:szCs w:val="20"/>
              </w:rPr>
            </w:pPr>
            <w:r>
              <w:rPr>
                <w:rFonts w:ascii="Arial" w:hAnsi="Arial" w:cs="Arial"/>
                <w:color w:val="000000"/>
                <w:sz w:val="20"/>
                <w:szCs w:val="20"/>
              </w:rPr>
              <w:t>0</w:t>
            </w:r>
          </w:p>
        </w:tc>
      </w:tr>
      <w:tr w:rsidR="00CA349D" w:rsidRPr="00990D0F" w14:paraId="7AF76721" w14:textId="77777777" w:rsidTr="001F3DD8">
        <w:trPr>
          <w:trHeight w:val="264"/>
        </w:trPr>
        <w:tc>
          <w:tcPr>
            <w:tcW w:w="1985" w:type="dxa"/>
            <w:shd w:val="clear" w:color="auto" w:fill="auto"/>
            <w:noWrap/>
            <w:vAlign w:val="center"/>
            <w:hideMark/>
          </w:tcPr>
          <w:p w14:paraId="575D5659" w14:textId="77777777" w:rsidR="00CA349D" w:rsidRPr="00990D0F" w:rsidRDefault="00CA349D" w:rsidP="001F3DD8">
            <w:pPr>
              <w:ind w:firstLineChars="100" w:firstLine="200"/>
              <w:rPr>
                <w:rFonts w:ascii="Arial" w:hAnsi="Arial" w:cs="Arial"/>
                <w:color w:val="000000"/>
                <w:sz w:val="20"/>
                <w:szCs w:val="20"/>
              </w:rPr>
            </w:pPr>
            <w:r w:rsidRPr="00990D0F">
              <w:rPr>
                <w:rFonts w:ascii="Arial" w:hAnsi="Arial" w:cs="Arial"/>
                <w:color w:val="000000"/>
                <w:sz w:val="20"/>
                <w:szCs w:val="20"/>
              </w:rPr>
              <w:t>Tessaoua</w:t>
            </w:r>
          </w:p>
        </w:tc>
        <w:tc>
          <w:tcPr>
            <w:tcW w:w="1412" w:type="dxa"/>
            <w:shd w:val="clear" w:color="auto" w:fill="auto"/>
            <w:noWrap/>
            <w:vAlign w:val="center"/>
            <w:hideMark/>
          </w:tcPr>
          <w:p w14:paraId="32C66DF3"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12</w:t>
            </w:r>
          </w:p>
        </w:tc>
        <w:tc>
          <w:tcPr>
            <w:tcW w:w="1275" w:type="dxa"/>
            <w:shd w:val="clear" w:color="auto" w:fill="auto"/>
            <w:noWrap/>
            <w:vAlign w:val="center"/>
            <w:hideMark/>
          </w:tcPr>
          <w:p w14:paraId="0174C00C"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15</w:t>
            </w:r>
          </w:p>
        </w:tc>
        <w:tc>
          <w:tcPr>
            <w:tcW w:w="1276" w:type="dxa"/>
            <w:shd w:val="clear" w:color="auto" w:fill="auto"/>
            <w:noWrap/>
            <w:vAlign w:val="center"/>
            <w:hideMark/>
          </w:tcPr>
          <w:p w14:paraId="76F84BBF"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24</w:t>
            </w:r>
          </w:p>
        </w:tc>
        <w:tc>
          <w:tcPr>
            <w:tcW w:w="1276" w:type="dxa"/>
            <w:shd w:val="clear" w:color="auto" w:fill="auto"/>
            <w:noWrap/>
            <w:vAlign w:val="center"/>
            <w:hideMark/>
          </w:tcPr>
          <w:p w14:paraId="2E7ED1DB"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3</w:t>
            </w:r>
          </w:p>
        </w:tc>
        <w:tc>
          <w:tcPr>
            <w:tcW w:w="850" w:type="dxa"/>
            <w:shd w:val="clear" w:color="auto" w:fill="auto"/>
            <w:noWrap/>
            <w:vAlign w:val="center"/>
            <w:hideMark/>
          </w:tcPr>
          <w:p w14:paraId="52457A20"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3</w:t>
            </w:r>
          </w:p>
        </w:tc>
        <w:tc>
          <w:tcPr>
            <w:tcW w:w="1277" w:type="dxa"/>
            <w:shd w:val="clear" w:color="auto" w:fill="auto"/>
            <w:noWrap/>
            <w:vAlign w:val="center"/>
            <w:hideMark/>
          </w:tcPr>
          <w:p w14:paraId="4E6B06F9"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2</w:t>
            </w:r>
          </w:p>
        </w:tc>
      </w:tr>
      <w:tr w:rsidR="00CA349D" w:rsidRPr="00990D0F" w14:paraId="2D00AF31" w14:textId="77777777" w:rsidTr="00E77FBC">
        <w:trPr>
          <w:trHeight w:val="264"/>
        </w:trPr>
        <w:tc>
          <w:tcPr>
            <w:tcW w:w="1985" w:type="dxa"/>
            <w:shd w:val="clear" w:color="auto" w:fill="FBD4B4" w:themeFill="accent6" w:themeFillTint="66"/>
            <w:noWrap/>
            <w:vAlign w:val="center"/>
            <w:hideMark/>
          </w:tcPr>
          <w:p w14:paraId="003C53AE" w14:textId="77777777" w:rsidR="00CA349D" w:rsidRPr="00990D0F" w:rsidRDefault="00CA349D" w:rsidP="001F3DD8">
            <w:pPr>
              <w:rPr>
                <w:rFonts w:ascii="Arial" w:hAnsi="Arial" w:cs="Arial"/>
                <w:b/>
                <w:bCs/>
                <w:color w:val="000000"/>
                <w:sz w:val="20"/>
                <w:szCs w:val="20"/>
              </w:rPr>
            </w:pPr>
            <w:r w:rsidRPr="00990D0F">
              <w:rPr>
                <w:rFonts w:ascii="Arial" w:hAnsi="Arial" w:cs="Arial"/>
                <w:b/>
                <w:bCs/>
                <w:color w:val="000000"/>
                <w:sz w:val="20"/>
                <w:szCs w:val="20"/>
              </w:rPr>
              <w:t>Tahoua</w:t>
            </w:r>
          </w:p>
        </w:tc>
        <w:tc>
          <w:tcPr>
            <w:tcW w:w="1412" w:type="dxa"/>
            <w:shd w:val="clear" w:color="auto" w:fill="FBD4B4" w:themeFill="accent6" w:themeFillTint="66"/>
            <w:noWrap/>
            <w:vAlign w:val="center"/>
            <w:hideMark/>
          </w:tcPr>
          <w:p w14:paraId="2562E2E6"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30</w:t>
            </w:r>
          </w:p>
        </w:tc>
        <w:tc>
          <w:tcPr>
            <w:tcW w:w="1275" w:type="dxa"/>
            <w:shd w:val="clear" w:color="auto" w:fill="FBD4B4" w:themeFill="accent6" w:themeFillTint="66"/>
            <w:noWrap/>
            <w:vAlign w:val="center"/>
            <w:hideMark/>
          </w:tcPr>
          <w:p w14:paraId="5DA75D3B"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11</w:t>
            </w:r>
          </w:p>
        </w:tc>
        <w:tc>
          <w:tcPr>
            <w:tcW w:w="1276" w:type="dxa"/>
            <w:shd w:val="clear" w:color="auto" w:fill="FBD4B4" w:themeFill="accent6" w:themeFillTint="66"/>
            <w:noWrap/>
            <w:vAlign w:val="center"/>
            <w:hideMark/>
          </w:tcPr>
          <w:p w14:paraId="78B09A30"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24</w:t>
            </w:r>
          </w:p>
        </w:tc>
        <w:tc>
          <w:tcPr>
            <w:tcW w:w="1276" w:type="dxa"/>
            <w:shd w:val="clear" w:color="auto" w:fill="FBD4B4" w:themeFill="accent6" w:themeFillTint="66"/>
            <w:noWrap/>
            <w:vAlign w:val="center"/>
            <w:hideMark/>
          </w:tcPr>
          <w:p w14:paraId="2A182A03"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18</w:t>
            </w:r>
          </w:p>
        </w:tc>
        <w:tc>
          <w:tcPr>
            <w:tcW w:w="850" w:type="dxa"/>
            <w:shd w:val="clear" w:color="auto" w:fill="FBD4B4" w:themeFill="accent6" w:themeFillTint="66"/>
            <w:noWrap/>
            <w:vAlign w:val="center"/>
            <w:hideMark/>
          </w:tcPr>
          <w:p w14:paraId="7C107141"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17</w:t>
            </w:r>
          </w:p>
        </w:tc>
        <w:tc>
          <w:tcPr>
            <w:tcW w:w="1277" w:type="dxa"/>
            <w:shd w:val="clear" w:color="auto" w:fill="FBD4B4" w:themeFill="accent6" w:themeFillTint="66"/>
            <w:noWrap/>
            <w:vAlign w:val="center"/>
            <w:hideMark/>
          </w:tcPr>
          <w:p w14:paraId="1DD5C559"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10</w:t>
            </w:r>
          </w:p>
        </w:tc>
      </w:tr>
      <w:tr w:rsidR="00CA349D" w:rsidRPr="00990D0F" w14:paraId="070241D3" w14:textId="77777777" w:rsidTr="001F3DD8">
        <w:trPr>
          <w:trHeight w:val="264"/>
        </w:trPr>
        <w:tc>
          <w:tcPr>
            <w:tcW w:w="1985" w:type="dxa"/>
            <w:shd w:val="clear" w:color="auto" w:fill="auto"/>
            <w:noWrap/>
            <w:vAlign w:val="center"/>
            <w:hideMark/>
          </w:tcPr>
          <w:p w14:paraId="0E4DA5B3" w14:textId="77777777" w:rsidR="00CA349D" w:rsidRPr="00990D0F" w:rsidRDefault="00CA349D" w:rsidP="001F3DD8">
            <w:pPr>
              <w:ind w:firstLineChars="100" w:firstLine="200"/>
              <w:rPr>
                <w:rFonts w:ascii="Arial" w:hAnsi="Arial" w:cs="Arial"/>
                <w:color w:val="000000"/>
                <w:sz w:val="20"/>
                <w:szCs w:val="20"/>
              </w:rPr>
            </w:pPr>
            <w:proofErr w:type="spellStart"/>
            <w:r w:rsidRPr="00990D0F">
              <w:rPr>
                <w:rFonts w:ascii="Arial" w:hAnsi="Arial" w:cs="Arial"/>
                <w:color w:val="000000"/>
                <w:sz w:val="20"/>
                <w:szCs w:val="20"/>
              </w:rPr>
              <w:t>Badaguichiri</w:t>
            </w:r>
            <w:proofErr w:type="spellEnd"/>
          </w:p>
        </w:tc>
        <w:tc>
          <w:tcPr>
            <w:tcW w:w="1412" w:type="dxa"/>
            <w:shd w:val="clear" w:color="auto" w:fill="auto"/>
            <w:noWrap/>
            <w:vAlign w:val="center"/>
            <w:hideMark/>
          </w:tcPr>
          <w:p w14:paraId="53DA6EA9"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29</w:t>
            </w:r>
          </w:p>
        </w:tc>
        <w:tc>
          <w:tcPr>
            <w:tcW w:w="1275" w:type="dxa"/>
            <w:shd w:val="clear" w:color="auto" w:fill="auto"/>
            <w:noWrap/>
            <w:vAlign w:val="center"/>
            <w:hideMark/>
          </w:tcPr>
          <w:p w14:paraId="7DD430CB"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9</w:t>
            </w:r>
          </w:p>
        </w:tc>
        <w:tc>
          <w:tcPr>
            <w:tcW w:w="1276" w:type="dxa"/>
            <w:shd w:val="clear" w:color="auto" w:fill="auto"/>
            <w:noWrap/>
            <w:vAlign w:val="center"/>
            <w:hideMark/>
          </w:tcPr>
          <w:p w14:paraId="5060CF0F"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13</w:t>
            </w:r>
          </w:p>
        </w:tc>
        <w:tc>
          <w:tcPr>
            <w:tcW w:w="1276" w:type="dxa"/>
            <w:shd w:val="clear" w:color="auto" w:fill="auto"/>
            <w:noWrap/>
            <w:vAlign w:val="center"/>
            <w:hideMark/>
          </w:tcPr>
          <w:p w14:paraId="2CF46145"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9</w:t>
            </w:r>
          </w:p>
        </w:tc>
        <w:tc>
          <w:tcPr>
            <w:tcW w:w="850" w:type="dxa"/>
            <w:shd w:val="clear" w:color="auto" w:fill="auto"/>
            <w:noWrap/>
            <w:vAlign w:val="center"/>
            <w:hideMark/>
          </w:tcPr>
          <w:p w14:paraId="36446058"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4</w:t>
            </w:r>
          </w:p>
        </w:tc>
        <w:tc>
          <w:tcPr>
            <w:tcW w:w="1277" w:type="dxa"/>
            <w:shd w:val="clear" w:color="auto" w:fill="auto"/>
            <w:noWrap/>
            <w:vAlign w:val="center"/>
            <w:hideMark/>
          </w:tcPr>
          <w:p w14:paraId="7830E65C"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6</w:t>
            </w:r>
          </w:p>
        </w:tc>
      </w:tr>
      <w:tr w:rsidR="00CA349D" w:rsidRPr="00990D0F" w14:paraId="06462EB3" w14:textId="77777777" w:rsidTr="001F3DD8">
        <w:trPr>
          <w:trHeight w:val="264"/>
        </w:trPr>
        <w:tc>
          <w:tcPr>
            <w:tcW w:w="1985" w:type="dxa"/>
            <w:shd w:val="clear" w:color="auto" w:fill="auto"/>
            <w:noWrap/>
            <w:vAlign w:val="center"/>
            <w:hideMark/>
          </w:tcPr>
          <w:p w14:paraId="7CA3EC6D" w14:textId="77777777" w:rsidR="00CA349D" w:rsidRPr="00990D0F" w:rsidRDefault="00CA349D" w:rsidP="001F3DD8">
            <w:pPr>
              <w:ind w:firstLineChars="100" w:firstLine="200"/>
              <w:rPr>
                <w:rFonts w:ascii="Arial" w:hAnsi="Arial" w:cs="Arial"/>
                <w:color w:val="000000"/>
                <w:sz w:val="20"/>
                <w:szCs w:val="20"/>
              </w:rPr>
            </w:pPr>
            <w:r w:rsidRPr="00990D0F">
              <w:rPr>
                <w:rFonts w:ascii="Arial" w:hAnsi="Arial" w:cs="Arial"/>
                <w:color w:val="000000"/>
                <w:sz w:val="20"/>
                <w:szCs w:val="20"/>
              </w:rPr>
              <w:t>Karofane</w:t>
            </w:r>
          </w:p>
        </w:tc>
        <w:tc>
          <w:tcPr>
            <w:tcW w:w="1412" w:type="dxa"/>
            <w:shd w:val="clear" w:color="auto" w:fill="auto"/>
            <w:noWrap/>
            <w:vAlign w:val="center"/>
            <w:hideMark/>
          </w:tcPr>
          <w:p w14:paraId="37B21B51"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33</w:t>
            </w:r>
          </w:p>
        </w:tc>
        <w:tc>
          <w:tcPr>
            <w:tcW w:w="1275" w:type="dxa"/>
            <w:shd w:val="clear" w:color="auto" w:fill="auto"/>
            <w:noWrap/>
            <w:vAlign w:val="center"/>
            <w:hideMark/>
          </w:tcPr>
          <w:p w14:paraId="46CEC6DF" w14:textId="77777777" w:rsidR="00CA349D" w:rsidRPr="00990D0F" w:rsidRDefault="00CA349D" w:rsidP="001F3DD8">
            <w:pPr>
              <w:jc w:val="right"/>
              <w:rPr>
                <w:rFonts w:ascii="Arial" w:hAnsi="Arial" w:cs="Arial"/>
                <w:color w:val="000000"/>
                <w:sz w:val="20"/>
                <w:szCs w:val="20"/>
              </w:rPr>
            </w:pPr>
            <w:r>
              <w:rPr>
                <w:rFonts w:ascii="Arial" w:hAnsi="Arial" w:cs="Arial"/>
                <w:color w:val="000000"/>
                <w:sz w:val="20"/>
                <w:szCs w:val="20"/>
              </w:rPr>
              <w:t>0</w:t>
            </w:r>
          </w:p>
        </w:tc>
        <w:tc>
          <w:tcPr>
            <w:tcW w:w="1276" w:type="dxa"/>
            <w:shd w:val="clear" w:color="auto" w:fill="auto"/>
            <w:noWrap/>
            <w:vAlign w:val="center"/>
            <w:hideMark/>
          </w:tcPr>
          <w:p w14:paraId="05B027B1"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4</w:t>
            </w:r>
          </w:p>
        </w:tc>
        <w:tc>
          <w:tcPr>
            <w:tcW w:w="1276" w:type="dxa"/>
            <w:shd w:val="clear" w:color="auto" w:fill="auto"/>
            <w:noWrap/>
            <w:vAlign w:val="center"/>
            <w:hideMark/>
          </w:tcPr>
          <w:p w14:paraId="51EF5A23"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6</w:t>
            </w:r>
          </w:p>
        </w:tc>
        <w:tc>
          <w:tcPr>
            <w:tcW w:w="850" w:type="dxa"/>
            <w:shd w:val="clear" w:color="auto" w:fill="auto"/>
            <w:noWrap/>
            <w:vAlign w:val="center"/>
            <w:hideMark/>
          </w:tcPr>
          <w:p w14:paraId="6661CA54"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6</w:t>
            </w:r>
          </w:p>
        </w:tc>
        <w:tc>
          <w:tcPr>
            <w:tcW w:w="1277" w:type="dxa"/>
            <w:shd w:val="clear" w:color="auto" w:fill="auto"/>
            <w:noWrap/>
            <w:vAlign w:val="center"/>
            <w:hideMark/>
          </w:tcPr>
          <w:p w14:paraId="509BDBA5"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2</w:t>
            </w:r>
          </w:p>
        </w:tc>
      </w:tr>
      <w:tr w:rsidR="00CA349D" w:rsidRPr="00990D0F" w14:paraId="7EBA1E0F" w14:textId="77777777" w:rsidTr="001F3DD8">
        <w:trPr>
          <w:trHeight w:val="264"/>
        </w:trPr>
        <w:tc>
          <w:tcPr>
            <w:tcW w:w="1985" w:type="dxa"/>
            <w:shd w:val="clear" w:color="auto" w:fill="auto"/>
            <w:noWrap/>
            <w:vAlign w:val="center"/>
            <w:hideMark/>
          </w:tcPr>
          <w:p w14:paraId="4D7A2FC4" w14:textId="77777777" w:rsidR="00CA349D" w:rsidRPr="00990D0F" w:rsidRDefault="00CA349D" w:rsidP="001F3DD8">
            <w:pPr>
              <w:ind w:firstLineChars="100" w:firstLine="200"/>
              <w:rPr>
                <w:rFonts w:ascii="Arial" w:hAnsi="Arial" w:cs="Arial"/>
                <w:color w:val="000000"/>
                <w:sz w:val="20"/>
                <w:szCs w:val="20"/>
              </w:rPr>
            </w:pPr>
            <w:r w:rsidRPr="00990D0F">
              <w:rPr>
                <w:rFonts w:ascii="Arial" w:hAnsi="Arial" w:cs="Arial"/>
                <w:color w:val="000000"/>
                <w:sz w:val="20"/>
                <w:szCs w:val="20"/>
              </w:rPr>
              <w:t>Tounfafi</w:t>
            </w:r>
          </w:p>
        </w:tc>
        <w:tc>
          <w:tcPr>
            <w:tcW w:w="1412" w:type="dxa"/>
            <w:shd w:val="clear" w:color="auto" w:fill="auto"/>
            <w:noWrap/>
            <w:vAlign w:val="center"/>
            <w:hideMark/>
          </w:tcPr>
          <w:p w14:paraId="63874885"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30</w:t>
            </w:r>
          </w:p>
        </w:tc>
        <w:tc>
          <w:tcPr>
            <w:tcW w:w="1275" w:type="dxa"/>
            <w:shd w:val="clear" w:color="auto" w:fill="auto"/>
            <w:noWrap/>
            <w:vAlign w:val="center"/>
            <w:hideMark/>
          </w:tcPr>
          <w:p w14:paraId="57F5F9BF"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2</w:t>
            </w:r>
          </w:p>
        </w:tc>
        <w:tc>
          <w:tcPr>
            <w:tcW w:w="1276" w:type="dxa"/>
            <w:shd w:val="clear" w:color="auto" w:fill="auto"/>
            <w:noWrap/>
            <w:vAlign w:val="center"/>
            <w:hideMark/>
          </w:tcPr>
          <w:p w14:paraId="127AEFA7"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7</w:t>
            </w:r>
          </w:p>
        </w:tc>
        <w:tc>
          <w:tcPr>
            <w:tcW w:w="1276" w:type="dxa"/>
            <w:shd w:val="clear" w:color="auto" w:fill="auto"/>
            <w:noWrap/>
            <w:vAlign w:val="center"/>
            <w:hideMark/>
          </w:tcPr>
          <w:p w14:paraId="1148964A"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3</w:t>
            </w:r>
          </w:p>
        </w:tc>
        <w:tc>
          <w:tcPr>
            <w:tcW w:w="850" w:type="dxa"/>
            <w:shd w:val="clear" w:color="auto" w:fill="auto"/>
            <w:noWrap/>
            <w:vAlign w:val="center"/>
            <w:hideMark/>
          </w:tcPr>
          <w:p w14:paraId="28BA4656"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7</w:t>
            </w:r>
          </w:p>
        </w:tc>
        <w:tc>
          <w:tcPr>
            <w:tcW w:w="1277" w:type="dxa"/>
            <w:shd w:val="clear" w:color="auto" w:fill="auto"/>
            <w:noWrap/>
            <w:vAlign w:val="center"/>
            <w:hideMark/>
          </w:tcPr>
          <w:p w14:paraId="0D292697"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2</w:t>
            </w:r>
          </w:p>
        </w:tc>
      </w:tr>
      <w:tr w:rsidR="00CA349D" w:rsidRPr="00990D0F" w14:paraId="7704A98E" w14:textId="77777777" w:rsidTr="00E77FBC">
        <w:trPr>
          <w:trHeight w:val="264"/>
        </w:trPr>
        <w:tc>
          <w:tcPr>
            <w:tcW w:w="1985" w:type="dxa"/>
            <w:shd w:val="clear" w:color="auto" w:fill="FBD4B4" w:themeFill="accent6" w:themeFillTint="66"/>
            <w:noWrap/>
            <w:vAlign w:val="center"/>
            <w:hideMark/>
          </w:tcPr>
          <w:p w14:paraId="45200FEC" w14:textId="77777777" w:rsidR="00CA349D" w:rsidRPr="00990D0F" w:rsidRDefault="00CA349D" w:rsidP="001F3DD8">
            <w:pPr>
              <w:rPr>
                <w:rFonts w:ascii="Arial" w:hAnsi="Arial" w:cs="Arial"/>
                <w:b/>
                <w:bCs/>
                <w:color w:val="000000"/>
                <w:sz w:val="20"/>
                <w:szCs w:val="20"/>
              </w:rPr>
            </w:pPr>
            <w:r w:rsidRPr="00990D0F">
              <w:rPr>
                <w:rFonts w:ascii="Arial" w:hAnsi="Arial" w:cs="Arial"/>
                <w:b/>
                <w:bCs/>
                <w:color w:val="000000"/>
                <w:sz w:val="20"/>
                <w:szCs w:val="20"/>
              </w:rPr>
              <w:t>Zinder</w:t>
            </w:r>
          </w:p>
        </w:tc>
        <w:tc>
          <w:tcPr>
            <w:tcW w:w="1412" w:type="dxa"/>
            <w:shd w:val="clear" w:color="auto" w:fill="FBD4B4" w:themeFill="accent6" w:themeFillTint="66"/>
            <w:noWrap/>
            <w:vAlign w:val="center"/>
            <w:hideMark/>
          </w:tcPr>
          <w:p w14:paraId="7A0FAEEB"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16</w:t>
            </w:r>
          </w:p>
        </w:tc>
        <w:tc>
          <w:tcPr>
            <w:tcW w:w="1275" w:type="dxa"/>
            <w:shd w:val="clear" w:color="auto" w:fill="FBD4B4" w:themeFill="accent6" w:themeFillTint="66"/>
            <w:noWrap/>
            <w:vAlign w:val="center"/>
            <w:hideMark/>
          </w:tcPr>
          <w:p w14:paraId="46B65393"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9</w:t>
            </w:r>
          </w:p>
        </w:tc>
        <w:tc>
          <w:tcPr>
            <w:tcW w:w="1276" w:type="dxa"/>
            <w:shd w:val="clear" w:color="auto" w:fill="FBD4B4" w:themeFill="accent6" w:themeFillTint="66"/>
            <w:noWrap/>
            <w:vAlign w:val="center"/>
            <w:hideMark/>
          </w:tcPr>
          <w:p w14:paraId="5BB0FEF3"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28</w:t>
            </w:r>
          </w:p>
        </w:tc>
        <w:tc>
          <w:tcPr>
            <w:tcW w:w="1276" w:type="dxa"/>
            <w:shd w:val="clear" w:color="auto" w:fill="FBD4B4" w:themeFill="accent6" w:themeFillTint="66"/>
            <w:noWrap/>
            <w:vAlign w:val="center"/>
            <w:hideMark/>
          </w:tcPr>
          <w:p w14:paraId="3031943C"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16</w:t>
            </w:r>
          </w:p>
        </w:tc>
        <w:tc>
          <w:tcPr>
            <w:tcW w:w="850" w:type="dxa"/>
            <w:shd w:val="clear" w:color="auto" w:fill="FBD4B4" w:themeFill="accent6" w:themeFillTint="66"/>
            <w:noWrap/>
            <w:vAlign w:val="center"/>
            <w:hideMark/>
          </w:tcPr>
          <w:p w14:paraId="7910811C"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26</w:t>
            </w:r>
          </w:p>
        </w:tc>
        <w:tc>
          <w:tcPr>
            <w:tcW w:w="1277" w:type="dxa"/>
            <w:shd w:val="clear" w:color="auto" w:fill="FBD4B4" w:themeFill="accent6" w:themeFillTint="66"/>
            <w:noWrap/>
            <w:vAlign w:val="center"/>
            <w:hideMark/>
          </w:tcPr>
          <w:p w14:paraId="0935FBAC" w14:textId="77777777" w:rsidR="00CA349D" w:rsidRPr="00990D0F" w:rsidRDefault="00CA349D" w:rsidP="001F3DD8">
            <w:pPr>
              <w:jc w:val="right"/>
              <w:rPr>
                <w:rFonts w:ascii="Arial" w:hAnsi="Arial" w:cs="Arial"/>
                <w:b/>
                <w:bCs/>
                <w:color w:val="000000"/>
                <w:sz w:val="20"/>
                <w:szCs w:val="20"/>
              </w:rPr>
            </w:pPr>
            <w:r>
              <w:rPr>
                <w:rFonts w:ascii="Arial" w:hAnsi="Arial" w:cs="Arial"/>
                <w:b/>
                <w:bCs/>
                <w:color w:val="000000"/>
                <w:sz w:val="20"/>
                <w:szCs w:val="20"/>
              </w:rPr>
              <w:t>0</w:t>
            </w:r>
          </w:p>
        </w:tc>
      </w:tr>
      <w:tr w:rsidR="00CA349D" w:rsidRPr="00990D0F" w14:paraId="771F45D3" w14:textId="77777777" w:rsidTr="001F3DD8">
        <w:trPr>
          <w:trHeight w:val="264"/>
        </w:trPr>
        <w:tc>
          <w:tcPr>
            <w:tcW w:w="1985" w:type="dxa"/>
            <w:shd w:val="clear" w:color="auto" w:fill="auto"/>
            <w:noWrap/>
            <w:vAlign w:val="center"/>
            <w:hideMark/>
          </w:tcPr>
          <w:p w14:paraId="08E9B602" w14:textId="77777777" w:rsidR="00CA349D" w:rsidRPr="00990D0F" w:rsidRDefault="00CA349D" w:rsidP="001F3DD8">
            <w:pPr>
              <w:ind w:firstLineChars="100" w:firstLine="200"/>
              <w:rPr>
                <w:rFonts w:ascii="Arial" w:hAnsi="Arial" w:cs="Arial"/>
                <w:color w:val="000000"/>
                <w:sz w:val="20"/>
                <w:szCs w:val="20"/>
              </w:rPr>
            </w:pPr>
            <w:r w:rsidRPr="00990D0F">
              <w:rPr>
                <w:rFonts w:ascii="Arial" w:hAnsi="Arial" w:cs="Arial"/>
                <w:color w:val="000000"/>
                <w:sz w:val="20"/>
                <w:szCs w:val="20"/>
              </w:rPr>
              <w:t>Bande</w:t>
            </w:r>
          </w:p>
        </w:tc>
        <w:tc>
          <w:tcPr>
            <w:tcW w:w="1412" w:type="dxa"/>
            <w:shd w:val="clear" w:color="auto" w:fill="auto"/>
            <w:noWrap/>
            <w:vAlign w:val="center"/>
            <w:hideMark/>
          </w:tcPr>
          <w:p w14:paraId="08F8234D"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18</w:t>
            </w:r>
          </w:p>
        </w:tc>
        <w:tc>
          <w:tcPr>
            <w:tcW w:w="1275" w:type="dxa"/>
            <w:shd w:val="clear" w:color="auto" w:fill="auto"/>
            <w:noWrap/>
            <w:vAlign w:val="center"/>
            <w:hideMark/>
          </w:tcPr>
          <w:p w14:paraId="326EF9C5"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4</w:t>
            </w:r>
          </w:p>
        </w:tc>
        <w:tc>
          <w:tcPr>
            <w:tcW w:w="1276" w:type="dxa"/>
            <w:shd w:val="clear" w:color="auto" w:fill="auto"/>
            <w:noWrap/>
            <w:vAlign w:val="center"/>
            <w:hideMark/>
          </w:tcPr>
          <w:p w14:paraId="6670C844"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3</w:t>
            </w:r>
          </w:p>
        </w:tc>
        <w:tc>
          <w:tcPr>
            <w:tcW w:w="1276" w:type="dxa"/>
            <w:shd w:val="clear" w:color="auto" w:fill="auto"/>
            <w:noWrap/>
            <w:vAlign w:val="center"/>
            <w:hideMark/>
          </w:tcPr>
          <w:p w14:paraId="0FBFC068"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4</w:t>
            </w:r>
          </w:p>
        </w:tc>
        <w:tc>
          <w:tcPr>
            <w:tcW w:w="850" w:type="dxa"/>
            <w:shd w:val="clear" w:color="auto" w:fill="auto"/>
            <w:noWrap/>
            <w:vAlign w:val="center"/>
            <w:hideMark/>
          </w:tcPr>
          <w:p w14:paraId="4A45183E"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9</w:t>
            </w:r>
          </w:p>
        </w:tc>
        <w:tc>
          <w:tcPr>
            <w:tcW w:w="1277" w:type="dxa"/>
            <w:shd w:val="clear" w:color="auto" w:fill="auto"/>
            <w:noWrap/>
            <w:vAlign w:val="center"/>
            <w:hideMark/>
          </w:tcPr>
          <w:p w14:paraId="57BFE0C8" w14:textId="77777777" w:rsidR="00CA349D" w:rsidRPr="00990D0F" w:rsidRDefault="00CA349D" w:rsidP="001F3DD8">
            <w:pPr>
              <w:jc w:val="right"/>
              <w:rPr>
                <w:rFonts w:ascii="Arial" w:hAnsi="Arial" w:cs="Arial"/>
                <w:color w:val="000000"/>
                <w:sz w:val="20"/>
                <w:szCs w:val="20"/>
              </w:rPr>
            </w:pPr>
            <w:r>
              <w:rPr>
                <w:rFonts w:ascii="Arial" w:hAnsi="Arial" w:cs="Arial"/>
                <w:color w:val="000000"/>
                <w:sz w:val="20"/>
                <w:szCs w:val="20"/>
              </w:rPr>
              <w:t>0</w:t>
            </w:r>
          </w:p>
        </w:tc>
      </w:tr>
      <w:tr w:rsidR="00CA349D" w:rsidRPr="00990D0F" w14:paraId="2B579657" w14:textId="77777777" w:rsidTr="001F3DD8">
        <w:trPr>
          <w:trHeight w:val="264"/>
        </w:trPr>
        <w:tc>
          <w:tcPr>
            <w:tcW w:w="1985" w:type="dxa"/>
            <w:shd w:val="clear" w:color="auto" w:fill="auto"/>
            <w:noWrap/>
            <w:vAlign w:val="center"/>
            <w:hideMark/>
          </w:tcPr>
          <w:p w14:paraId="05C6A272" w14:textId="77777777" w:rsidR="00CA349D" w:rsidRPr="00990D0F" w:rsidRDefault="00CA349D" w:rsidP="001F3DD8">
            <w:pPr>
              <w:ind w:firstLineChars="100" w:firstLine="200"/>
              <w:rPr>
                <w:rFonts w:ascii="Arial" w:hAnsi="Arial" w:cs="Arial"/>
                <w:color w:val="000000"/>
                <w:sz w:val="20"/>
                <w:szCs w:val="20"/>
              </w:rPr>
            </w:pPr>
            <w:r w:rsidRPr="00990D0F">
              <w:rPr>
                <w:rFonts w:ascii="Arial" w:hAnsi="Arial" w:cs="Arial"/>
                <w:color w:val="000000"/>
                <w:sz w:val="20"/>
                <w:szCs w:val="20"/>
              </w:rPr>
              <w:t>Doungou</w:t>
            </w:r>
          </w:p>
        </w:tc>
        <w:tc>
          <w:tcPr>
            <w:tcW w:w="1412" w:type="dxa"/>
            <w:shd w:val="clear" w:color="auto" w:fill="auto"/>
            <w:noWrap/>
            <w:vAlign w:val="center"/>
            <w:hideMark/>
          </w:tcPr>
          <w:p w14:paraId="3052AD62"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15</w:t>
            </w:r>
          </w:p>
        </w:tc>
        <w:tc>
          <w:tcPr>
            <w:tcW w:w="1275" w:type="dxa"/>
            <w:shd w:val="clear" w:color="auto" w:fill="auto"/>
            <w:noWrap/>
            <w:vAlign w:val="center"/>
            <w:hideMark/>
          </w:tcPr>
          <w:p w14:paraId="6ED24464"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3</w:t>
            </w:r>
          </w:p>
        </w:tc>
        <w:tc>
          <w:tcPr>
            <w:tcW w:w="1276" w:type="dxa"/>
            <w:shd w:val="clear" w:color="auto" w:fill="auto"/>
            <w:noWrap/>
            <w:vAlign w:val="center"/>
            <w:hideMark/>
          </w:tcPr>
          <w:p w14:paraId="1396AE96"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15</w:t>
            </w:r>
          </w:p>
        </w:tc>
        <w:tc>
          <w:tcPr>
            <w:tcW w:w="1276" w:type="dxa"/>
            <w:shd w:val="clear" w:color="auto" w:fill="auto"/>
            <w:noWrap/>
            <w:vAlign w:val="center"/>
            <w:hideMark/>
          </w:tcPr>
          <w:p w14:paraId="16B46685"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9</w:t>
            </w:r>
          </w:p>
        </w:tc>
        <w:tc>
          <w:tcPr>
            <w:tcW w:w="850" w:type="dxa"/>
            <w:shd w:val="clear" w:color="auto" w:fill="auto"/>
            <w:noWrap/>
            <w:vAlign w:val="center"/>
            <w:hideMark/>
          </w:tcPr>
          <w:p w14:paraId="21CDAE5F"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13</w:t>
            </w:r>
          </w:p>
        </w:tc>
        <w:tc>
          <w:tcPr>
            <w:tcW w:w="1277" w:type="dxa"/>
            <w:shd w:val="clear" w:color="auto" w:fill="auto"/>
            <w:noWrap/>
            <w:vAlign w:val="center"/>
            <w:hideMark/>
          </w:tcPr>
          <w:p w14:paraId="6AA732DF" w14:textId="77777777" w:rsidR="00CA349D" w:rsidRPr="00990D0F" w:rsidRDefault="00CA349D" w:rsidP="001F3DD8">
            <w:pPr>
              <w:jc w:val="right"/>
              <w:rPr>
                <w:rFonts w:ascii="Arial" w:hAnsi="Arial" w:cs="Arial"/>
                <w:color w:val="000000"/>
                <w:sz w:val="20"/>
                <w:szCs w:val="20"/>
              </w:rPr>
            </w:pPr>
            <w:r>
              <w:rPr>
                <w:rFonts w:ascii="Arial" w:hAnsi="Arial" w:cs="Arial"/>
                <w:color w:val="000000"/>
                <w:sz w:val="20"/>
                <w:szCs w:val="20"/>
              </w:rPr>
              <w:t>0</w:t>
            </w:r>
          </w:p>
        </w:tc>
      </w:tr>
      <w:tr w:rsidR="00CA349D" w:rsidRPr="00990D0F" w14:paraId="0C967AFC" w14:textId="77777777" w:rsidTr="001F3DD8">
        <w:trPr>
          <w:trHeight w:val="264"/>
        </w:trPr>
        <w:tc>
          <w:tcPr>
            <w:tcW w:w="1985" w:type="dxa"/>
            <w:shd w:val="clear" w:color="auto" w:fill="auto"/>
            <w:noWrap/>
            <w:vAlign w:val="center"/>
            <w:hideMark/>
          </w:tcPr>
          <w:p w14:paraId="5A2F4EB6" w14:textId="77777777" w:rsidR="00CA349D" w:rsidRPr="00990D0F" w:rsidRDefault="00CA349D" w:rsidP="001F3DD8">
            <w:pPr>
              <w:ind w:firstLineChars="100" w:firstLine="200"/>
              <w:rPr>
                <w:rFonts w:ascii="Arial" w:hAnsi="Arial" w:cs="Arial"/>
                <w:color w:val="000000"/>
                <w:sz w:val="20"/>
                <w:szCs w:val="20"/>
              </w:rPr>
            </w:pPr>
            <w:r w:rsidRPr="00990D0F">
              <w:rPr>
                <w:rFonts w:ascii="Arial" w:hAnsi="Arial" w:cs="Arial"/>
                <w:color w:val="000000"/>
                <w:sz w:val="20"/>
                <w:szCs w:val="20"/>
              </w:rPr>
              <w:t>Guidimouni</w:t>
            </w:r>
          </w:p>
        </w:tc>
        <w:tc>
          <w:tcPr>
            <w:tcW w:w="1412" w:type="dxa"/>
            <w:shd w:val="clear" w:color="auto" w:fill="auto"/>
            <w:noWrap/>
            <w:vAlign w:val="center"/>
            <w:hideMark/>
          </w:tcPr>
          <w:p w14:paraId="63EB846A"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16</w:t>
            </w:r>
          </w:p>
        </w:tc>
        <w:tc>
          <w:tcPr>
            <w:tcW w:w="1275" w:type="dxa"/>
            <w:shd w:val="clear" w:color="auto" w:fill="auto"/>
            <w:noWrap/>
            <w:vAlign w:val="center"/>
            <w:hideMark/>
          </w:tcPr>
          <w:p w14:paraId="5D43D0B7"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2</w:t>
            </w:r>
          </w:p>
        </w:tc>
        <w:tc>
          <w:tcPr>
            <w:tcW w:w="1276" w:type="dxa"/>
            <w:shd w:val="clear" w:color="auto" w:fill="auto"/>
            <w:noWrap/>
            <w:vAlign w:val="center"/>
            <w:hideMark/>
          </w:tcPr>
          <w:p w14:paraId="0DAAE023"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10</w:t>
            </w:r>
          </w:p>
        </w:tc>
        <w:tc>
          <w:tcPr>
            <w:tcW w:w="1276" w:type="dxa"/>
            <w:shd w:val="clear" w:color="auto" w:fill="auto"/>
            <w:noWrap/>
            <w:vAlign w:val="center"/>
            <w:hideMark/>
          </w:tcPr>
          <w:p w14:paraId="6F656884"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3</w:t>
            </w:r>
          </w:p>
        </w:tc>
        <w:tc>
          <w:tcPr>
            <w:tcW w:w="850" w:type="dxa"/>
            <w:shd w:val="clear" w:color="auto" w:fill="auto"/>
            <w:noWrap/>
            <w:vAlign w:val="center"/>
            <w:hideMark/>
          </w:tcPr>
          <w:p w14:paraId="20678CF0" w14:textId="77777777" w:rsidR="00CA349D" w:rsidRPr="00990D0F" w:rsidRDefault="00CA349D" w:rsidP="001F3DD8">
            <w:pPr>
              <w:jc w:val="right"/>
              <w:rPr>
                <w:rFonts w:ascii="Arial" w:hAnsi="Arial" w:cs="Arial"/>
                <w:color w:val="000000"/>
                <w:sz w:val="20"/>
                <w:szCs w:val="20"/>
              </w:rPr>
            </w:pPr>
            <w:r w:rsidRPr="00990D0F">
              <w:rPr>
                <w:rFonts w:ascii="Arial" w:hAnsi="Arial" w:cs="Arial"/>
                <w:color w:val="000000"/>
                <w:sz w:val="20"/>
                <w:szCs w:val="20"/>
              </w:rPr>
              <w:t>4</w:t>
            </w:r>
          </w:p>
        </w:tc>
        <w:tc>
          <w:tcPr>
            <w:tcW w:w="1277" w:type="dxa"/>
            <w:shd w:val="clear" w:color="auto" w:fill="auto"/>
            <w:noWrap/>
            <w:vAlign w:val="center"/>
            <w:hideMark/>
          </w:tcPr>
          <w:p w14:paraId="3F9685C4" w14:textId="77777777" w:rsidR="00CA349D" w:rsidRPr="00990D0F" w:rsidRDefault="00CA349D" w:rsidP="001F3DD8">
            <w:pPr>
              <w:jc w:val="right"/>
              <w:rPr>
                <w:rFonts w:ascii="Arial" w:hAnsi="Arial" w:cs="Arial"/>
                <w:color w:val="000000"/>
                <w:sz w:val="20"/>
                <w:szCs w:val="20"/>
              </w:rPr>
            </w:pPr>
            <w:r>
              <w:rPr>
                <w:rFonts w:ascii="Arial" w:hAnsi="Arial" w:cs="Arial"/>
                <w:color w:val="000000"/>
                <w:sz w:val="20"/>
                <w:szCs w:val="20"/>
              </w:rPr>
              <w:t>0</w:t>
            </w:r>
          </w:p>
        </w:tc>
      </w:tr>
      <w:tr w:rsidR="00CA349D" w:rsidRPr="00990D0F" w14:paraId="15B4475A" w14:textId="77777777" w:rsidTr="001F3DD8">
        <w:trPr>
          <w:trHeight w:val="264"/>
        </w:trPr>
        <w:tc>
          <w:tcPr>
            <w:tcW w:w="1985" w:type="dxa"/>
            <w:shd w:val="clear" w:color="D9E7FD" w:fill="D9E7FD"/>
            <w:noWrap/>
            <w:vAlign w:val="center"/>
            <w:hideMark/>
          </w:tcPr>
          <w:p w14:paraId="03F8D3AB" w14:textId="77777777" w:rsidR="00CA349D" w:rsidRPr="00990D0F" w:rsidRDefault="00CA349D" w:rsidP="001F3DD8">
            <w:pPr>
              <w:rPr>
                <w:rFonts w:ascii="Arial" w:hAnsi="Arial" w:cs="Arial"/>
                <w:b/>
                <w:bCs/>
                <w:color w:val="000000"/>
                <w:sz w:val="20"/>
                <w:szCs w:val="20"/>
              </w:rPr>
            </w:pPr>
            <w:r w:rsidRPr="00990D0F">
              <w:rPr>
                <w:rFonts w:ascii="Arial" w:hAnsi="Arial" w:cs="Arial"/>
                <w:b/>
                <w:bCs/>
                <w:color w:val="000000"/>
                <w:sz w:val="20"/>
                <w:szCs w:val="20"/>
              </w:rPr>
              <w:t>Total général</w:t>
            </w:r>
          </w:p>
        </w:tc>
        <w:tc>
          <w:tcPr>
            <w:tcW w:w="1412" w:type="dxa"/>
            <w:shd w:val="clear" w:color="D9E7FD" w:fill="D9E7FD"/>
            <w:noWrap/>
            <w:vAlign w:val="center"/>
            <w:hideMark/>
          </w:tcPr>
          <w:p w14:paraId="7BDCEA7C"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20</w:t>
            </w:r>
          </w:p>
        </w:tc>
        <w:tc>
          <w:tcPr>
            <w:tcW w:w="1275" w:type="dxa"/>
            <w:shd w:val="clear" w:color="D9E7FD" w:fill="D9E7FD"/>
            <w:noWrap/>
            <w:vAlign w:val="center"/>
            <w:hideMark/>
          </w:tcPr>
          <w:p w14:paraId="651C8D0F"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44</w:t>
            </w:r>
          </w:p>
        </w:tc>
        <w:tc>
          <w:tcPr>
            <w:tcW w:w="1276" w:type="dxa"/>
            <w:shd w:val="clear" w:color="D9E7FD" w:fill="D9E7FD"/>
            <w:noWrap/>
            <w:vAlign w:val="center"/>
            <w:hideMark/>
          </w:tcPr>
          <w:p w14:paraId="135C5597"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88</w:t>
            </w:r>
          </w:p>
        </w:tc>
        <w:tc>
          <w:tcPr>
            <w:tcW w:w="1276" w:type="dxa"/>
            <w:shd w:val="clear" w:color="D9E7FD" w:fill="D9E7FD"/>
            <w:noWrap/>
            <w:vAlign w:val="center"/>
            <w:hideMark/>
          </w:tcPr>
          <w:p w14:paraId="584C2CDD"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42</w:t>
            </w:r>
          </w:p>
        </w:tc>
        <w:tc>
          <w:tcPr>
            <w:tcW w:w="850" w:type="dxa"/>
            <w:shd w:val="clear" w:color="D9E7FD" w:fill="D9E7FD"/>
            <w:noWrap/>
            <w:vAlign w:val="center"/>
            <w:hideMark/>
          </w:tcPr>
          <w:p w14:paraId="7D61FE29"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50</w:t>
            </w:r>
          </w:p>
        </w:tc>
        <w:tc>
          <w:tcPr>
            <w:tcW w:w="1277" w:type="dxa"/>
            <w:shd w:val="clear" w:color="D9E7FD" w:fill="D9E7FD"/>
            <w:noWrap/>
            <w:vAlign w:val="center"/>
            <w:hideMark/>
          </w:tcPr>
          <w:p w14:paraId="33606FF8" w14:textId="77777777" w:rsidR="00CA349D" w:rsidRPr="00990D0F" w:rsidRDefault="00CA349D" w:rsidP="001F3DD8">
            <w:pPr>
              <w:jc w:val="right"/>
              <w:rPr>
                <w:rFonts w:ascii="Arial" w:hAnsi="Arial" w:cs="Arial"/>
                <w:b/>
                <w:bCs/>
                <w:color w:val="000000"/>
                <w:sz w:val="20"/>
                <w:szCs w:val="20"/>
              </w:rPr>
            </w:pPr>
            <w:r w:rsidRPr="00990D0F">
              <w:rPr>
                <w:rFonts w:ascii="Arial" w:hAnsi="Arial" w:cs="Arial"/>
                <w:b/>
                <w:bCs/>
                <w:color w:val="000000"/>
                <w:sz w:val="20"/>
                <w:szCs w:val="20"/>
              </w:rPr>
              <w:t>12</w:t>
            </w:r>
          </w:p>
        </w:tc>
      </w:tr>
      <w:tr w:rsidR="00CA349D" w:rsidRPr="00990D0F" w14:paraId="0A529002" w14:textId="77777777" w:rsidTr="001F3DD8">
        <w:trPr>
          <w:trHeight w:val="264"/>
        </w:trPr>
        <w:tc>
          <w:tcPr>
            <w:tcW w:w="3397" w:type="dxa"/>
            <w:gridSpan w:val="2"/>
            <w:shd w:val="clear" w:color="auto" w:fill="FBD4B4" w:themeFill="accent6" w:themeFillTint="66"/>
            <w:noWrap/>
            <w:vAlign w:val="center"/>
            <w:hideMark/>
          </w:tcPr>
          <w:p w14:paraId="4021FB65" w14:textId="77777777" w:rsidR="00CA349D" w:rsidRPr="00990D0F" w:rsidRDefault="00CA349D" w:rsidP="001F3DD8">
            <w:pPr>
              <w:jc w:val="center"/>
              <w:rPr>
                <w:rFonts w:ascii="Arial" w:hAnsi="Arial" w:cs="Arial"/>
                <w:b/>
                <w:bCs/>
                <w:color w:val="000000"/>
                <w:sz w:val="20"/>
                <w:szCs w:val="20"/>
              </w:rPr>
            </w:pPr>
            <w:r w:rsidRPr="00990D0F">
              <w:rPr>
                <w:rFonts w:ascii="Arial" w:hAnsi="Arial" w:cs="Arial"/>
                <w:b/>
                <w:bCs/>
                <w:color w:val="000000"/>
                <w:sz w:val="20"/>
                <w:szCs w:val="20"/>
              </w:rPr>
              <w:lastRenderedPageBreak/>
              <w:t>Proportion %</w:t>
            </w:r>
          </w:p>
        </w:tc>
        <w:tc>
          <w:tcPr>
            <w:tcW w:w="1275" w:type="dxa"/>
            <w:shd w:val="clear" w:color="auto" w:fill="FBD4B4" w:themeFill="accent6" w:themeFillTint="66"/>
            <w:noWrap/>
            <w:vAlign w:val="center"/>
            <w:hideMark/>
          </w:tcPr>
          <w:p w14:paraId="72B63844" w14:textId="77777777" w:rsidR="00CA349D" w:rsidRPr="00990D0F" w:rsidRDefault="00CA349D" w:rsidP="00A73DE8">
            <w:pPr>
              <w:jc w:val="right"/>
              <w:rPr>
                <w:rFonts w:ascii="Arial" w:hAnsi="Arial" w:cs="Arial"/>
                <w:b/>
                <w:bCs/>
                <w:color w:val="000000"/>
                <w:sz w:val="20"/>
                <w:szCs w:val="20"/>
              </w:rPr>
            </w:pPr>
            <w:r w:rsidRPr="00990D0F">
              <w:rPr>
                <w:rFonts w:ascii="Arial" w:hAnsi="Arial" w:cs="Arial"/>
                <w:b/>
                <w:bCs/>
                <w:color w:val="000000"/>
                <w:sz w:val="20"/>
                <w:szCs w:val="20"/>
              </w:rPr>
              <w:t>19%</w:t>
            </w:r>
          </w:p>
        </w:tc>
        <w:tc>
          <w:tcPr>
            <w:tcW w:w="1276" w:type="dxa"/>
            <w:shd w:val="clear" w:color="auto" w:fill="FBD4B4" w:themeFill="accent6" w:themeFillTint="66"/>
            <w:noWrap/>
            <w:vAlign w:val="center"/>
            <w:hideMark/>
          </w:tcPr>
          <w:p w14:paraId="53997C18" w14:textId="77777777" w:rsidR="00CA349D" w:rsidRPr="00990D0F" w:rsidRDefault="00CA349D" w:rsidP="00A73DE8">
            <w:pPr>
              <w:jc w:val="right"/>
              <w:rPr>
                <w:rFonts w:ascii="Arial" w:hAnsi="Arial" w:cs="Arial"/>
                <w:b/>
                <w:bCs/>
                <w:color w:val="000000"/>
                <w:sz w:val="20"/>
                <w:szCs w:val="20"/>
              </w:rPr>
            </w:pPr>
            <w:r w:rsidRPr="00990D0F">
              <w:rPr>
                <w:rFonts w:ascii="Arial" w:hAnsi="Arial" w:cs="Arial"/>
                <w:b/>
                <w:bCs/>
                <w:color w:val="000000"/>
                <w:sz w:val="20"/>
                <w:szCs w:val="20"/>
              </w:rPr>
              <w:t>37%</w:t>
            </w:r>
          </w:p>
        </w:tc>
        <w:tc>
          <w:tcPr>
            <w:tcW w:w="1276" w:type="dxa"/>
            <w:shd w:val="clear" w:color="auto" w:fill="FBD4B4" w:themeFill="accent6" w:themeFillTint="66"/>
            <w:noWrap/>
            <w:vAlign w:val="center"/>
            <w:hideMark/>
          </w:tcPr>
          <w:p w14:paraId="423A7411" w14:textId="77777777" w:rsidR="00CA349D" w:rsidRPr="00990D0F" w:rsidRDefault="00CA349D" w:rsidP="00A73DE8">
            <w:pPr>
              <w:jc w:val="right"/>
              <w:rPr>
                <w:rFonts w:ascii="Arial" w:hAnsi="Arial" w:cs="Arial"/>
                <w:b/>
                <w:bCs/>
                <w:color w:val="000000"/>
                <w:sz w:val="20"/>
                <w:szCs w:val="20"/>
              </w:rPr>
            </w:pPr>
            <w:r w:rsidRPr="00990D0F">
              <w:rPr>
                <w:rFonts w:ascii="Arial" w:hAnsi="Arial" w:cs="Arial"/>
                <w:b/>
                <w:bCs/>
                <w:color w:val="000000"/>
                <w:sz w:val="20"/>
                <w:szCs w:val="20"/>
              </w:rPr>
              <w:t>18%</w:t>
            </w:r>
          </w:p>
        </w:tc>
        <w:tc>
          <w:tcPr>
            <w:tcW w:w="850" w:type="dxa"/>
            <w:shd w:val="clear" w:color="auto" w:fill="FBD4B4" w:themeFill="accent6" w:themeFillTint="66"/>
            <w:noWrap/>
            <w:vAlign w:val="center"/>
            <w:hideMark/>
          </w:tcPr>
          <w:p w14:paraId="578397BA" w14:textId="77777777" w:rsidR="00CA349D" w:rsidRPr="00990D0F" w:rsidRDefault="00CA349D" w:rsidP="00A73DE8">
            <w:pPr>
              <w:jc w:val="right"/>
              <w:rPr>
                <w:rFonts w:ascii="Arial" w:hAnsi="Arial" w:cs="Arial"/>
                <w:b/>
                <w:bCs/>
                <w:color w:val="000000"/>
                <w:sz w:val="20"/>
                <w:szCs w:val="20"/>
              </w:rPr>
            </w:pPr>
            <w:r w:rsidRPr="00990D0F">
              <w:rPr>
                <w:rFonts w:ascii="Arial" w:hAnsi="Arial" w:cs="Arial"/>
                <w:b/>
                <w:bCs/>
                <w:color w:val="000000"/>
                <w:sz w:val="20"/>
                <w:szCs w:val="20"/>
              </w:rPr>
              <w:t>21%</w:t>
            </w:r>
          </w:p>
        </w:tc>
        <w:tc>
          <w:tcPr>
            <w:tcW w:w="1277" w:type="dxa"/>
            <w:shd w:val="clear" w:color="auto" w:fill="FBD4B4" w:themeFill="accent6" w:themeFillTint="66"/>
            <w:noWrap/>
            <w:vAlign w:val="center"/>
            <w:hideMark/>
          </w:tcPr>
          <w:p w14:paraId="6E609575" w14:textId="77777777" w:rsidR="00CA349D" w:rsidRPr="00990D0F" w:rsidRDefault="00CA349D" w:rsidP="00A73DE8">
            <w:pPr>
              <w:jc w:val="right"/>
              <w:rPr>
                <w:rFonts w:ascii="Arial" w:hAnsi="Arial" w:cs="Arial"/>
                <w:b/>
                <w:bCs/>
                <w:color w:val="000000"/>
                <w:sz w:val="20"/>
                <w:szCs w:val="20"/>
              </w:rPr>
            </w:pPr>
            <w:r w:rsidRPr="00990D0F">
              <w:rPr>
                <w:rFonts w:ascii="Arial" w:hAnsi="Arial" w:cs="Arial"/>
                <w:b/>
                <w:bCs/>
                <w:color w:val="000000"/>
                <w:sz w:val="20"/>
                <w:szCs w:val="20"/>
              </w:rPr>
              <w:t>5%</w:t>
            </w:r>
          </w:p>
        </w:tc>
      </w:tr>
    </w:tbl>
    <w:p w14:paraId="1C6B62C9" w14:textId="30C10517" w:rsidR="00CA349D" w:rsidRDefault="0042161C" w:rsidP="00CA349D">
      <w:pPr>
        <w:tabs>
          <w:tab w:val="left" w:pos="4402"/>
        </w:tabs>
        <w:spacing w:line="276" w:lineRule="auto"/>
        <w:jc w:val="both"/>
        <w:rPr>
          <w:rFonts w:ascii="Bookman Old Style" w:hAnsi="Bookman Old Style" w:cs="Arial"/>
        </w:rPr>
      </w:pPr>
      <w:r w:rsidRPr="000E18CE">
        <w:rPr>
          <w:rFonts w:ascii="Bookman Old Style" w:hAnsi="Bookman Old Style" w:cs="Arial"/>
          <w:sz w:val="18"/>
          <w:szCs w:val="18"/>
        </w:rPr>
        <w:t>Source : Enquête terrain, septembre 2021</w:t>
      </w:r>
    </w:p>
    <w:p w14:paraId="722C2F8E" w14:textId="2B08F55A" w:rsidR="00C62749" w:rsidRDefault="00C62749" w:rsidP="00A43446">
      <w:pPr>
        <w:tabs>
          <w:tab w:val="left" w:pos="4402"/>
        </w:tabs>
        <w:spacing w:before="240" w:line="276" w:lineRule="auto"/>
        <w:jc w:val="both"/>
        <w:rPr>
          <w:rFonts w:ascii="Bookman Old Style" w:hAnsi="Bookman Old Style" w:cs="Arial"/>
        </w:rPr>
      </w:pPr>
      <w:r>
        <w:rPr>
          <w:rFonts w:ascii="Bookman Old Style" w:hAnsi="Bookman Old Style" w:cs="Arial"/>
        </w:rPr>
        <w:t xml:space="preserve">Le </w:t>
      </w:r>
      <w:r w:rsidR="00B91700">
        <w:rPr>
          <w:rFonts w:ascii="Bookman Old Style" w:hAnsi="Bookman Old Style" w:cs="Arial"/>
        </w:rPr>
        <w:t>figure</w:t>
      </w:r>
      <w:r>
        <w:rPr>
          <w:rFonts w:ascii="Bookman Old Style" w:hAnsi="Bookman Old Style" w:cs="Arial"/>
        </w:rPr>
        <w:t xml:space="preserve"> ci-dessous nous renseigne sur la durée d’autoconsommation par région. Ainsi, la </w:t>
      </w:r>
      <w:r w:rsidR="001D0D3D">
        <w:rPr>
          <w:rFonts w:ascii="Bookman Old Style" w:hAnsi="Bookman Old Style" w:cs="Arial"/>
        </w:rPr>
        <w:t>durée de plus d’1 mois de consommation est plus représentée à Tahoua avec 83% suivi de Maradi avec 17%. Aucune répondante de Zinder n’a déclaré avoir consommé pendant plus d’1 mois les vivres reçus au magasin GFS</w:t>
      </w:r>
      <w:r w:rsidR="00F72BF2">
        <w:rPr>
          <w:rFonts w:ascii="Bookman Old Style" w:hAnsi="Bookman Old Style" w:cs="Arial"/>
        </w:rPr>
        <w:t>.</w:t>
      </w:r>
      <w:r w:rsidR="001D0D3D">
        <w:rPr>
          <w:rFonts w:ascii="Bookman Old Style" w:hAnsi="Bookman Old Style" w:cs="Arial"/>
        </w:rPr>
        <w:t xml:space="preserve"> </w:t>
      </w:r>
      <w:r w:rsidR="00F72BF2">
        <w:rPr>
          <w:rFonts w:ascii="Bookman Old Style" w:hAnsi="Bookman Old Style" w:cs="Arial"/>
        </w:rPr>
        <w:t>P</w:t>
      </w:r>
      <w:r w:rsidR="001D0D3D">
        <w:rPr>
          <w:rFonts w:ascii="Bookman Old Style" w:hAnsi="Bookman Old Style" w:cs="Arial"/>
        </w:rPr>
        <w:t>ar contre</w:t>
      </w:r>
      <w:r w:rsidR="00F72BF2">
        <w:rPr>
          <w:rFonts w:ascii="Bookman Old Style" w:hAnsi="Bookman Old Style" w:cs="Arial"/>
        </w:rPr>
        <w:t>,</w:t>
      </w:r>
      <w:r w:rsidR="001D0D3D">
        <w:rPr>
          <w:rFonts w:ascii="Bookman Old Style" w:hAnsi="Bookman Old Style" w:cs="Arial"/>
        </w:rPr>
        <w:t xml:space="preserve"> 52% de celles qui ont déclaré la durée de 1 mois sont à Zinder</w:t>
      </w:r>
      <w:r>
        <w:rPr>
          <w:rFonts w:ascii="Bookman Old Style" w:hAnsi="Bookman Old Style" w:cs="Arial"/>
        </w:rPr>
        <w:t xml:space="preserve"> </w:t>
      </w:r>
      <w:r w:rsidR="00F72BF2">
        <w:rPr>
          <w:rFonts w:ascii="Bookman Old Style" w:hAnsi="Bookman Old Style" w:cs="Arial"/>
        </w:rPr>
        <w:t>suivi de Tahoua avec 34% et en fin Maradi avec 14%. Quant à la durée d’une semaine, la région de Maradi vient en tête avec 55% suivi de Tahoua 25% et en fin Zinder 20%.</w:t>
      </w:r>
    </w:p>
    <w:p w14:paraId="23FE04BC" w14:textId="341B7060" w:rsidR="00C62749" w:rsidRDefault="00C62749" w:rsidP="00CA349D">
      <w:pPr>
        <w:tabs>
          <w:tab w:val="left" w:pos="4402"/>
        </w:tabs>
        <w:spacing w:line="276" w:lineRule="auto"/>
        <w:jc w:val="both"/>
        <w:rPr>
          <w:rFonts w:ascii="Bookman Old Style" w:hAnsi="Bookman Old Style" w:cs="Arial"/>
        </w:rPr>
      </w:pPr>
    </w:p>
    <w:p w14:paraId="1BB2F4CF" w14:textId="0C31474A" w:rsidR="00C62749" w:rsidRDefault="00C62749" w:rsidP="00F72BF2">
      <w:pPr>
        <w:tabs>
          <w:tab w:val="left" w:pos="4402"/>
        </w:tabs>
        <w:spacing w:line="276" w:lineRule="auto"/>
        <w:jc w:val="center"/>
        <w:rPr>
          <w:rFonts w:ascii="Bookman Old Style" w:hAnsi="Bookman Old Style" w:cs="Arial"/>
        </w:rPr>
      </w:pPr>
      <w:r w:rsidRPr="00E77FBC">
        <w:rPr>
          <w:noProof/>
        </w:rPr>
        <w:drawing>
          <wp:inline distT="0" distB="0" distL="0" distR="0" wp14:anchorId="59888BC4" wp14:editId="57C75F1D">
            <wp:extent cx="5036820" cy="2735580"/>
            <wp:effectExtent l="0" t="0" r="11430" b="7620"/>
            <wp:docPr id="13" name="Graphique 13">
              <a:extLst xmlns:a="http://schemas.openxmlformats.org/drawingml/2006/main">
                <a:ext uri="{FF2B5EF4-FFF2-40B4-BE49-F238E27FC236}">
                  <a16:creationId xmlns:a16="http://schemas.microsoft.com/office/drawing/2014/main" id="{0178D7B7-16F1-4DD7-A7F1-FF7FF344A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DFD561" w14:textId="1A1CF39E" w:rsidR="00C62749" w:rsidRDefault="003D37B5" w:rsidP="003D37B5">
      <w:pPr>
        <w:pStyle w:val="Lgende"/>
        <w:rPr>
          <w:rFonts w:ascii="Bookman Old Style" w:hAnsi="Bookman Old Style" w:cs="Arial"/>
        </w:rPr>
      </w:pPr>
      <w:r>
        <w:t xml:space="preserve">            </w:t>
      </w:r>
      <w:bookmarkStart w:id="52" w:name="_Toc97823227"/>
      <w:r w:rsidR="00290B2A">
        <w:t xml:space="preserve">Figure </w:t>
      </w:r>
      <w:fldSimple w:instr=" SEQ Figure \* ARABIC ">
        <w:r w:rsidR="004F4E33">
          <w:rPr>
            <w:noProof/>
          </w:rPr>
          <w:t>14</w:t>
        </w:r>
      </w:fldSimple>
      <w:r w:rsidR="00290B2A">
        <w:t> : Durée d’autoconsommation 1</w:t>
      </w:r>
      <w:r w:rsidR="00290B2A" w:rsidRPr="003D37B5">
        <w:rPr>
          <w:vertAlign w:val="superscript"/>
        </w:rPr>
        <w:t>ère</w:t>
      </w:r>
      <w:r w:rsidR="00290B2A">
        <w:t xml:space="preserve"> cession par Région</w:t>
      </w:r>
      <w:bookmarkEnd w:id="52"/>
    </w:p>
    <w:p w14:paraId="492303C0" w14:textId="0CFF8FD9" w:rsidR="006A5138" w:rsidRDefault="004E2AE2" w:rsidP="00A43446">
      <w:pPr>
        <w:tabs>
          <w:tab w:val="left" w:pos="4402"/>
        </w:tabs>
        <w:spacing w:before="240" w:line="276" w:lineRule="auto"/>
        <w:jc w:val="both"/>
        <w:rPr>
          <w:rFonts w:ascii="Bookman Old Style" w:hAnsi="Bookman Old Style" w:cs="Arial"/>
        </w:rPr>
      </w:pPr>
      <w:r>
        <w:rPr>
          <w:rFonts w:ascii="Bookman Old Style" w:hAnsi="Bookman Old Style" w:cs="Arial"/>
        </w:rPr>
        <w:t>Par PDE, la situation de la durée d’autoconsommation se présente comme suit : 3</w:t>
      </w:r>
      <w:r w:rsidR="004B2A9C">
        <w:rPr>
          <w:rFonts w:ascii="Bookman Old Style" w:hAnsi="Bookman Old Style" w:cs="Arial"/>
        </w:rPr>
        <w:t>4</w:t>
      </w:r>
      <w:r>
        <w:rPr>
          <w:rFonts w:ascii="Bookman Old Style" w:hAnsi="Bookman Old Style" w:cs="Arial"/>
        </w:rPr>
        <w:t xml:space="preserve">% de celles qui ont déclaré une autoconsommation de 1 semaine sont au niveau de PDE de Tessaoua contre </w:t>
      </w:r>
      <w:r w:rsidR="004B2A9C">
        <w:rPr>
          <w:rFonts w:ascii="Bookman Old Style" w:hAnsi="Bookman Old Style" w:cs="Arial"/>
        </w:rPr>
        <w:t>0</w:t>
      </w:r>
      <w:r>
        <w:rPr>
          <w:rFonts w:ascii="Bookman Old Style" w:hAnsi="Bookman Old Style" w:cs="Arial"/>
        </w:rPr>
        <w:t xml:space="preserve">% à </w:t>
      </w:r>
      <w:r w:rsidR="004B2A9C">
        <w:rPr>
          <w:rFonts w:ascii="Bookman Old Style" w:hAnsi="Bookman Old Style" w:cs="Arial"/>
        </w:rPr>
        <w:t>Karofane</w:t>
      </w:r>
      <w:r>
        <w:rPr>
          <w:rFonts w:ascii="Bookman Old Style" w:hAnsi="Bookman Old Style" w:cs="Arial"/>
        </w:rPr>
        <w:t xml:space="preserve">. </w:t>
      </w:r>
      <w:r w:rsidR="00EF1C07">
        <w:rPr>
          <w:rFonts w:ascii="Bookman Old Style" w:hAnsi="Bookman Old Style" w:cs="Arial"/>
        </w:rPr>
        <w:t>27</w:t>
      </w:r>
      <w:r>
        <w:rPr>
          <w:rFonts w:ascii="Bookman Old Style" w:hAnsi="Bookman Old Style" w:cs="Arial"/>
        </w:rPr>
        <w:t xml:space="preserve">% de celles qui ont déclaré 2 semaines </w:t>
      </w:r>
      <w:r w:rsidR="00EF1C07">
        <w:rPr>
          <w:rFonts w:ascii="Bookman Old Style" w:hAnsi="Bookman Old Style" w:cs="Arial"/>
        </w:rPr>
        <w:t xml:space="preserve">d’autoconsommation </w:t>
      </w:r>
      <w:r>
        <w:rPr>
          <w:rFonts w:ascii="Bookman Old Style" w:hAnsi="Bookman Old Style" w:cs="Arial"/>
        </w:rPr>
        <w:t xml:space="preserve">sont </w:t>
      </w:r>
      <w:r w:rsidR="00EF1C07">
        <w:rPr>
          <w:rFonts w:ascii="Bookman Old Style" w:hAnsi="Bookman Old Style" w:cs="Arial"/>
        </w:rPr>
        <w:t xml:space="preserve">également </w:t>
      </w:r>
      <w:r>
        <w:rPr>
          <w:rFonts w:ascii="Bookman Old Style" w:hAnsi="Bookman Old Style" w:cs="Arial"/>
        </w:rPr>
        <w:t xml:space="preserve">à </w:t>
      </w:r>
      <w:r w:rsidR="00EF1C07">
        <w:rPr>
          <w:rFonts w:ascii="Bookman Old Style" w:hAnsi="Bookman Old Style" w:cs="Arial"/>
        </w:rPr>
        <w:t>Tessaoua</w:t>
      </w:r>
      <w:r>
        <w:rPr>
          <w:rFonts w:ascii="Bookman Old Style" w:hAnsi="Bookman Old Style" w:cs="Arial"/>
        </w:rPr>
        <w:t xml:space="preserve"> alors qu’elles sont </w:t>
      </w:r>
      <w:r w:rsidR="00EF1C07">
        <w:rPr>
          <w:rFonts w:ascii="Bookman Old Style" w:hAnsi="Bookman Old Style" w:cs="Arial"/>
        </w:rPr>
        <w:t>5% à Karofane.</w:t>
      </w:r>
      <w:r w:rsidR="0038516E">
        <w:rPr>
          <w:rFonts w:ascii="Bookman Old Style" w:hAnsi="Bookman Old Style" w:cs="Arial"/>
        </w:rPr>
        <w:t xml:space="preserve"> Ainsi donc, </w:t>
      </w:r>
      <w:r w:rsidR="00CB3A47">
        <w:rPr>
          <w:rFonts w:ascii="Bookman Old Style" w:hAnsi="Bookman Old Style" w:cs="Arial"/>
        </w:rPr>
        <w:t xml:space="preserve">le PDE de Tessaoua regroupe le plus grand nombre des bénéficiaires qui consomment les vivres reçus de GFS en 2 semaines. Cette situation </w:t>
      </w:r>
      <w:r w:rsidR="006A5138">
        <w:rPr>
          <w:rFonts w:ascii="Bookman Old Style" w:hAnsi="Bookman Old Style" w:cs="Arial"/>
        </w:rPr>
        <w:t xml:space="preserve">s’explique en partie par le fait que la quantité moyenne distribuée dans le PDE de Tessaoua est la plus petite de toutes (12 </w:t>
      </w:r>
      <w:proofErr w:type="spellStart"/>
      <w:r w:rsidR="006A5138">
        <w:rPr>
          <w:rFonts w:ascii="Bookman Old Style" w:hAnsi="Bookman Old Style" w:cs="Arial"/>
        </w:rPr>
        <w:t>tias</w:t>
      </w:r>
      <w:proofErr w:type="spellEnd"/>
      <w:r w:rsidR="006A5138">
        <w:rPr>
          <w:rFonts w:ascii="Bookman Old Style" w:hAnsi="Bookman Old Style" w:cs="Arial"/>
        </w:rPr>
        <w:t xml:space="preserve">/bénéficiaires, cf. tableau </w:t>
      </w:r>
      <w:r w:rsidR="006A5138" w:rsidRPr="00C97C7F">
        <w:rPr>
          <w:rFonts w:ascii="Bookman Old Style" w:hAnsi="Bookman Old Style" w:cs="Arial"/>
        </w:rPr>
        <w:t>n°</w:t>
      </w:r>
      <w:r w:rsidR="00C97C7F" w:rsidRPr="00C97C7F">
        <w:rPr>
          <w:rFonts w:ascii="Bookman Old Style" w:hAnsi="Bookman Old Style" w:cs="Arial"/>
        </w:rPr>
        <w:t>5</w:t>
      </w:r>
      <w:r w:rsidR="006A5138" w:rsidRPr="00C97C7F">
        <w:rPr>
          <w:rFonts w:ascii="Bookman Old Style" w:hAnsi="Bookman Old Style" w:cs="Arial"/>
        </w:rPr>
        <w:t xml:space="preserve"> plus</w:t>
      </w:r>
      <w:r w:rsidR="006A5138">
        <w:rPr>
          <w:rFonts w:ascii="Bookman Old Style" w:hAnsi="Bookman Old Style" w:cs="Arial"/>
        </w:rPr>
        <w:t xml:space="preserve"> haut).</w:t>
      </w:r>
    </w:p>
    <w:p w14:paraId="5EB98C7D" w14:textId="79BA0E09" w:rsidR="00CA349D" w:rsidRDefault="006A5138" w:rsidP="00A43446">
      <w:pPr>
        <w:tabs>
          <w:tab w:val="left" w:pos="4402"/>
        </w:tabs>
        <w:spacing w:before="240" w:line="276" w:lineRule="auto"/>
        <w:jc w:val="both"/>
        <w:rPr>
          <w:rFonts w:ascii="Bookman Old Style" w:hAnsi="Bookman Old Style" w:cs="Arial"/>
        </w:rPr>
      </w:pPr>
      <w:r>
        <w:rPr>
          <w:rFonts w:ascii="Bookman Old Style" w:hAnsi="Bookman Old Style" w:cs="Arial"/>
        </w:rPr>
        <w:t xml:space="preserve">Le nombre des bénéficiaires </w:t>
      </w:r>
      <w:r w:rsidR="00695529">
        <w:rPr>
          <w:rFonts w:ascii="Bookman Old Style" w:hAnsi="Bookman Old Style" w:cs="Arial"/>
        </w:rPr>
        <w:t>déclarant la durée de 3 semaines et 1 mois sont plus représentés dans le PDE de Doungou avec respectivement 22% et 26%.</w:t>
      </w:r>
      <w:r w:rsidR="004446FE">
        <w:rPr>
          <w:rFonts w:ascii="Bookman Old Style" w:hAnsi="Bookman Old Style" w:cs="Arial"/>
        </w:rPr>
        <w:t xml:space="preserve"> Aucune durée d</w:t>
      </w:r>
      <w:r w:rsidR="00D97C44">
        <w:rPr>
          <w:rFonts w:ascii="Bookman Old Style" w:hAnsi="Bookman Old Style" w:cs="Arial"/>
        </w:rPr>
        <w:t>’auto</w:t>
      </w:r>
      <w:r w:rsidR="004446FE">
        <w:rPr>
          <w:rFonts w:ascii="Bookman Old Style" w:hAnsi="Bookman Old Style" w:cs="Arial"/>
        </w:rPr>
        <w:t xml:space="preserve">consommation de plus de 1 mois n’a été évoquée dans les PDE de Bandé, </w:t>
      </w:r>
      <w:proofErr w:type="spellStart"/>
      <w:r w:rsidR="004446FE">
        <w:rPr>
          <w:rFonts w:ascii="Bookman Old Style" w:hAnsi="Bookman Old Style" w:cs="Arial"/>
        </w:rPr>
        <w:t>Doungou</w:t>
      </w:r>
      <w:proofErr w:type="spellEnd"/>
      <w:r w:rsidR="004446FE">
        <w:rPr>
          <w:rFonts w:ascii="Bookman Old Style" w:hAnsi="Bookman Old Style" w:cs="Arial"/>
        </w:rPr>
        <w:t xml:space="preserve">, </w:t>
      </w:r>
      <w:proofErr w:type="spellStart"/>
      <w:r w:rsidR="004446FE">
        <w:rPr>
          <w:rFonts w:ascii="Bookman Old Style" w:hAnsi="Bookman Old Style" w:cs="Arial"/>
        </w:rPr>
        <w:t>Guidan</w:t>
      </w:r>
      <w:proofErr w:type="spellEnd"/>
      <w:r w:rsidR="004446FE">
        <w:rPr>
          <w:rFonts w:ascii="Bookman Old Style" w:hAnsi="Bookman Old Style" w:cs="Arial"/>
        </w:rPr>
        <w:t xml:space="preserve"> </w:t>
      </w:r>
      <w:proofErr w:type="spellStart"/>
      <w:r w:rsidR="004446FE">
        <w:rPr>
          <w:rFonts w:ascii="Bookman Old Style" w:hAnsi="Bookman Old Style" w:cs="Arial"/>
        </w:rPr>
        <w:t>roumdji</w:t>
      </w:r>
      <w:proofErr w:type="spellEnd"/>
      <w:r w:rsidR="004446FE">
        <w:rPr>
          <w:rFonts w:ascii="Bookman Old Style" w:hAnsi="Bookman Old Style" w:cs="Arial"/>
        </w:rPr>
        <w:t xml:space="preserve"> et </w:t>
      </w:r>
      <w:proofErr w:type="spellStart"/>
      <w:r w:rsidR="004446FE">
        <w:rPr>
          <w:rFonts w:ascii="Bookman Old Style" w:hAnsi="Bookman Old Style" w:cs="Arial"/>
        </w:rPr>
        <w:t>Guidimouni</w:t>
      </w:r>
      <w:proofErr w:type="spellEnd"/>
      <w:r w:rsidR="004446FE">
        <w:rPr>
          <w:rFonts w:ascii="Bookman Old Style" w:hAnsi="Bookman Old Style" w:cs="Arial"/>
        </w:rPr>
        <w:t>. Par contre 50% de celles qui ont déclaré une durée d</w:t>
      </w:r>
      <w:r w:rsidR="00D97C44">
        <w:rPr>
          <w:rFonts w:ascii="Bookman Old Style" w:hAnsi="Bookman Old Style" w:cs="Arial"/>
        </w:rPr>
        <w:t>’auto</w:t>
      </w:r>
      <w:r w:rsidR="004446FE">
        <w:rPr>
          <w:rFonts w:ascii="Bookman Old Style" w:hAnsi="Bookman Old Style" w:cs="Arial"/>
        </w:rPr>
        <w:t xml:space="preserve">consommation de plus de 1 mois </w:t>
      </w:r>
      <w:r w:rsidR="004446FE">
        <w:rPr>
          <w:rFonts w:ascii="Bookman Old Style" w:hAnsi="Bookman Old Style" w:cs="Arial"/>
        </w:rPr>
        <w:lastRenderedPageBreak/>
        <w:t xml:space="preserve">sont à </w:t>
      </w:r>
      <w:proofErr w:type="spellStart"/>
      <w:r w:rsidR="004446FE">
        <w:rPr>
          <w:rFonts w:ascii="Bookman Old Style" w:hAnsi="Bookman Old Style" w:cs="Arial"/>
        </w:rPr>
        <w:t>Badaguichiri</w:t>
      </w:r>
      <w:proofErr w:type="spellEnd"/>
      <w:r w:rsidR="0037036F">
        <w:rPr>
          <w:rFonts w:ascii="Bookman Old Style" w:hAnsi="Bookman Old Style" w:cs="Arial"/>
        </w:rPr>
        <w:t xml:space="preserve">, suivi des PDE de Karofane, Tessaoua et Tounfafi avec chacun 17%. On constate que dans tous les PDE objet d’investigation à </w:t>
      </w:r>
      <w:proofErr w:type="gramStart"/>
      <w:r w:rsidR="0037036F">
        <w:rPr>
          <w:rFonts w:ascii="Bookman Old Style" w:hAnsi="Bookman Old Style" w:cs="Arial"/>
        </w:rPr>
        <w:t>Tahoua</w:t>
      </w:r>
      <w:r w:rsidR="006B735B">
        <w:rPr>
          <w:rFonts w:ascii="Bookman Old Style" w:hAnsi="Bookman Old Style" w:cs="Arial"/>
        </w:rPr>
        <w:t xml:space="preserve">, </w:t>
      </w:r>
      <w:r w:rsidR="0037036F">
        <w:rPr>
          <w:rFonts w:ascii="Bookman Old Style" w:hAnsi="Bookman Old Style" w:cs="Arial"/>
        </w:rPr>
        <w:t xml:space="preserve"> on</w:t>
      </w:r>
      <w:proofErr w:type="gramEnd"/>
      <w:r w:rsidR="0037036F">
        <w:rPr>
          <w:rFonts w:ascii="Bookman Old Style" w:hAnsi="Bookman Old Style" w:cs="Arial"/>
        </w:rPr>
        <w:t xml:space="preserve"> rencontre les bénéficiaires qui ont consommé pendant plus d’1 mois les vivres reçus au GFS. Cela est dû au fait que l’URGP de Tahoua a renforcé les stocks de GFS dans le cadre de plan covid-19. </w:t>
      </w:r>
      <w:r w:rsidR="00CB3A47">
        <w:rPr>
          <w:rFonts w:ascii="Bookman Old Style" w:hAnsi="Bookman Old Style" w:cs="Arial"/>
        </w:rPr>
        <w:t xml:space="preserve"> </w:t>
      </w:r>
      <w:r w:rsidR="0038516E">
        <w:rPr>
          <w:rFonts w:ascii="Bookman Old Style" w:hAnsi="Bookman Old Style" w:cs="Arial"/>
        </w:rPr>
        <w:t xml:space="preserve"> </w:t>
      </w:r>
    </w:p>
    <w:p w14:paraId="0F4F7E97" w14:textId="25BC26F2" w:rsidR="00CA349D" w:rsidRDefault="00CA349D" w:rsidP="00CA349D">
      <w:pPr>
        <w:tabs>
          <w:tab w:val="left" w:pos="4402"/>
        </w:tabs>
        <w:spacing w:line="276" w:lineRule="auto"/>
        <w:jc w:val="both"/>
        <w:rPr>
          <w:rFonts w:ascii="Bookman Old Style" w:hAnsi="Bookman Old Style" w:cs="Arial"/>
        </w:rPr>
      </w:pPr>
    </w:p>
    <w:p w14:paraId="3E2ED49A" w14:textId="2688BA3C" w:rsidR="004B2A9C" w:rsidRDefault="004B2A9C" w:rsidP="004B2A9C">
      <w:pPr>
        <w:tabs>
          <w:tab w:val="left" w:pos="4402"/>
        </w:tabs>
        <w:spacing w:line="276" w:lineRule="auto"/>
        <w:jc w:val="center"/>
        <w:rPr>
          <w:rFonts w:ascii="Bookman Old Style" w:hAnsi="Bookman Old Style" w:cs="Arial"/>
        </w:rPr>
      </w:pPr>
      <w:r>
        <w:rPr>
          <w:noProof/>
        </w:rPr>
        <w:drawing>
          <wp:inline distT="0" distB="0" distL="0" distR="0" wp14:anchorId="665D6031" wp14:editId="47537633">
            <wp:extent cx="4572000" cy="2743200"/>
            <wp:effectExtent l="0" t="0" r="0" b="0"/>
            <wp:docPr id="5" name="Graphique 5">
              <a:extLst xmlns:a="http://schemas.openxmlformats.org/drawingml/2006/main">
                <a:ext uri="{FF2B5EF4-FFF2-40B4-BE49-F238E27FC236}">
                  <a16:creationId xmlns:a16="http://schemas.microsoft.com/office/drawing/2014/main" id="{04049486-C8D3-4936-A22D-06B04FBBC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1E5A00" w14:textId="0EB7607B" w:rsidR="004B2A9C" w:rsidRDefault="003D37B5" w:rsidP="003D37B5">
      <w:pPr>
        <w:pStyle w:val="Lgende"/>
        <w:rPr>
          <w:rFonts w:ascii="Bookman Old Style" w:hAnsi="Bookman Old Style" w:cs="Arial"/>
        </w:rPr>
      </w:pPr>
      <w:r>
        <w:t xml:space="preserve">                    </w:t>
      </w:r>
      <w:bookmarkStart w:id="53" w:name="_Toc97823228"/>
      <w:r w:rsidR="00290B2A">
        <w:t xml:space="preserve">Figure </w:t>
      </w:r>
      <w:fldSimple w:instr=" SEQ Figure \* ARABIC ">
        <w:r w:rsidR="004F4E33">
          <w:rPr>
            <w:noProof/>
          </w:rPr>
          <w:t>15</w:t>
        </w:r>
      </w:fldSimple>
      <w:r w:rsidR="00290B2A">
        <w:t> : Durée d’autoconsommation 1</w:t>
      </w:r>
      <w:r w:rsidR="00290B2A" w:rsidRPr="003D37B5">
        <w:rPr>
          <w:vertAlign w:val="superscript"/>
        </w:rPr>
        <w:t>ère</w:t>
      </w:r>
      <w:r w:rsidR="00290B2A">
        <w:t xml:space="preserve"> cession par PDE</w:t>
      </w:r>
      <w:bookmarkEnd w:id="53"/>
    </w:p>
    <w:p w14:paraId="12D96D3C" w14:textId="3A10D9FB" w:rsidR="00CA349D" w:rsidRPr="003C2818" w:rsidRDefault="00CA349D" w:rsidP="00940964">
      <w:pPr>
        <w:tabs>
          <w:tab w:val="left" w:pos="4402"/>
        </w:tabs>
        <w:spacing w:before="240" w:line="276" w:lineRule="auto"/>
        <w:jc w:val="both"/>
        <w:rPr>
          <w:rFonts w:ascii="Bookman Old Style" w:hAnsi="Bookman Old Style" w:cs="Arial"/>
          <w:b/>
          <w:bCs/>
          <w:i/>
          <w:iCs/>
        </w:rPr>
      </w:pPr>
      <w:r w:rsidRPr="003C2818">
        <w:rPr>
          <w:rFonts w:ascii="Bookman Old Style" w:hAnsi="Bookman Old Style" w:cs="Arial"/>
          <w:b/>
          <w:bCs/>
          <w:i/>
          <w:iCs/>
        </w:rPr>
        <w:t>Durée d’autoconsommation des vivres reçus à la 2e cession</w:t>
      </w:r>
    </w:p>
    <w:p w14:paraId="3A405B48" w14:textId="05AABF56" w:rsidR="00CA349D" w:rsidRDefault="00207DA5" w:rsidP="00C85B47">
      <w:pPr>
        <w:tabs>
          <w:tab w:val="left" w:pos="4402"/>
        </w:tabs>
        <w:spacing w:before="240" w:line="276" w:lineRule="auto"/>
        <w:jc w:val="both"/>
        <w:rPr>
          <w:rFonts w:ascii="Bookman Old Style" w:hAnsi="Bookman Old Style" w:cs="Arial"/>
        </w:rPr>
      </w:pPr>
      <w:r>
        <w:rPr>
          <w:rFonts w:ascii="Bookman Old Style" w:hAnsi="Bookman Old Style" w:cs="Arial"/>
        </w:rPr>
        <w:t xml:space="preserve">A la 2è cession des vivres, </w:t>
      </w:r>
      <w:r w:rsidR="0071498D">
        <w:rPr>
          <w:rFonts w:ascii="Bookman Old Style" w:hAnsi="Bookman Old Style" w:cs="Arial"/>
        </w:rPr>
        <w:t>la majorité d</w:t>
      </w:r>
      <w:r>
        <w:rPr>
          <w:rFonts w:ascii="Bookman Old Style" w:hAnsi="Bookman Old Style" w:cs="Arial"/>
        </w:rPr>
        <w:t xml:space="preserve">es bénéficiaires a consommé son stock </w:t>
      </w:r>
      <w:r w:rsidR="0071498D">
        <w:rPr>
          <w:rFonts w:ascii="Bookman Old Style" w:hAnsi="Bookman Old Style" w:cs="Arial"/>
        </w:rPr>
        <w:t>entre la</w:t>
      </w:r>
      <w:r>
        <w:rPr>
          <w:rFonts w:ascii="Bookman Old Style" w:hAnsi="Bookman Old Style" w:cs="Arial"/>
        </w:rPr>
        <w:t xml:space="preserve"> première semaine</w:t>
      </w:r>
      <w:r w:rsidR="0071498D">
        <w:rPr>
          <w:rFonts w:ascii="Bookman Old Style" w:hAnsi="Bookman Old Style" w:cs="Arial"/>
        </w:rPr>
        <w:t xml:space="preserve"> (39%) et la deuxième semaine (31%). C’est dire combien de fois qu’au moment de la 2è distribution un très grand nombre de ménages n’ont presque plus rien comme vivre. 15% des bénéficiaires ont atteint 1 mois d’autoconsommation contre 21% à la 1</w:t>
      </w:r>
      <w:r w:rsidR="0071498D" w:rsidRPr="00735C0F">
        <w:rPr>
          <w:rFonts w:ascii="Bookman Old Style" w:hAnsi="Bookman Old Style" w:cs="Arial"/>
          <w:vertAlign w:val="superscript"/>
        </w:rPr>
        <w:t>ère</w:t>
      </w:r>
      <w:r w:rsidR="0071498D">
        <w:rPr>
          <w:rFonts w:ascii="Bookman Old Style" w:hAnsi="Bookman Old Style" w:cs="Arial"/>
        </w:rPr>
        <w:t xml:space="preserve"> distribution.</w:t>
      </w:r>
    </w:p>
    <w:p w14:paraId="027AF992" w14:textId="77777777" w:rsidR="00B07FF0" w:rsidRDefault="00B07FF0" w:rsidP="007B5322">
      <w:pPr>
        <w:tabs>
          <w:tab w:val="left" w:pos="4402"/>
        </w:tabs>
        <w:spacing w:line="276" w:lineRule="auto"/>
        <w:jc w:val="both"/>
        <w:rPr>
          <w:rFonts w:ascii="Bookman Old Style" w:hAnsi="Bookman Old Style" w:cs="Arial"/>
        </w:rPr>
      </w:pPr>
    </w:p>
    <w:p w14:paraId="4410C17C" w14:textId="7EF4B88B" w:rsidR="0071498D" w:rsidRDefault="00B07FF0" w:rsidP="00B4164B">
      <w:pPr>
        <w:pStyle w:val="Lgende"/>
        <w:spacing w:after="0"/>
        <w:rPr>
          <w:rFonts w:ascii="Bookman Old Style" w:hAnsi="Bookman Old Style" w:cs="Arial"/>
        </w:rPr>
      </w:pPr>
      <w:bookmarkStart w:id="54" w:name="_Toc97822386"/>
      <w:r>
        <w:t xml:space="preserve">Tableau </w:t>
      </w:r>
      <w:fldSimple w:instr=" SEQ Tableau \* ARABIC ">
        <w:r w:rsidR="00275B4D">
          <w:rPr>
            <w:noProof/>
          </w:rPr>
          <w:t>7</w:t>
        </w:r>
      </w:fldSimple>
      <w:r>
        <w:t> : Durée d’autoconsommation des vivres 2è cession</w:t>
      </w:r>
      <w:bookmarkEnd w:id="54"/>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280"/>
        <w:gridCol w:w="1134"/>
        <w:gridCol w:w="1322"/>
        <w:gridCol w:w="1276"/>
        <w:gridCol w:w="992"/>
        <w:gridCol w:w="1088"/>
      </w:tblGrid>
      <w:tr w:rsidR="00A43446" w:rsidRPr="000D1C14" w14:paraId="35DA4E8E" w14:textId="77777777" w:rsidTr="00A43446">
        <w:trPr>
          <w:trHeight w:val="264"/>
          <w:tblHeader/>
        </w:trPr>
        <w:tc>
          <w:tcPr>
            <w:tcW w:w="2263" w:type="dxa"/>
            <w:shd w:val="clear" w:color="D9E7FD" w:fill="D9E7FD"/>
            <w:noWrap/>
            <w:vAlign w:val="center"/>
            <w:hideMark/>
          </w:tcPr>
          <w:p w14:paraId="51FAB3BE" w14:textId="77777777" w:rsidR="00CA349D" w:rsidRPr="000D1C14" w:rsidRDefault="00CA349D" w:rsidP="00A73DE8">
            <w:pPr>
              <w:jc w:val="center"/>
              <w:rPr>
                <w:rFonts w:ascii="Arial" w:hAnsi="Arial" w:cs="Arial"/>
                <w:b/>
                <w:bCs/>
                <w:color w:val="000000"/>
                <w:sz w:val="20"/>
                <w:szCs w:val="20"/>
              </w:rPr>
            </w:pPr>
            <w:r>
              <w:rPr>
                <w:rFonts w:ascii="Arial" w:hAnsi="Arial" w:cs="Arial"/>
                <w:b/>
                <w:bCs/>
                <w:color w:val="000000"/>
                <w:sz w:val="20"/>
                <w:szCs w:val="20"/>
              </w:rPr>
              <w:t>Région/PDE</w:t>
            </w:r>
          </w:p>
        </w:tc>
        <w:tc>
          <w:tcPr>
            <w:tcW w:w="1280" w:type="dxa"/>
            <w:shd w:val="clear" w:color="D9E7FD" w:fill="D9E7FD"/>
            <w:noWrap/>
            <w:vAlign w:val="center"/>
            <w:hideMark/>
          </w:tcPr>
          <w:p w14:paraId="50149B8A" w14:textId="77777777" w:rsidR="00110C5D" w:rsidRDefault="00CA349D" w:rsidP="00A73DE8">
            <w:pPr>
              <w:jc w:val="center"/>
              <w:rPr>
                <w:rFonts w:ascii="Arial" w:hAnsi="Arial" w:cs="Arial"/>
                <w:b/>
                <w:bCs/>
                <w:sz w:val="20"/>
                <w:szCs w:val="20"/>
              </w:rPr>
            </w:pPr>
            <w:proofErr w:type="spellStart"/>
            <w:r w:rsidRPr="00E77FBC">
              <w:rPr>
                <w:rFonts w:ascii="Arial" w:hAnsi="Arial" w:cs="Arial"/>
                <w:b/>
                <w:bCs/>
                <w:sz w:val="20"/>
                <w:szCs w:val="20"/>
              </w:rPr>
              <w:t>Moy</w:t>
            </w:r>
            <w:proofErr w:type="spellEnd"/>
            <w:r w:rsidRPr="00E77FBC">
              <w:rPr>
                <w:rFonts w:ascii="Arial" w:hAnsi="Arial" w:cs="Arial"/>
                <w:b/>
                <w:bCs/>
                <w:sz w:val="20"/>
                <w:szCs w:val="20"/>
              </w:rPr>
              <w:t>. Qtité</w:t>
            </w:r>
          </w:p>
          <w:p w14:paraId="19CE7105" w14:textId="36E37BE4" w:rsidR="00CA349D" w:rsidRPr="00E77FBC" w:rsidRDefault="00CA349D" w:rsidP="00A73DE8">
            <w:pPr>
              <w:jc w:val="center"/>
              <w:rPr>
                <w:rFonts w:ascii="Arial" w:hAnsi="Arial" w:cs="Arial"/>
                <w:b/>
                <w:bCs/>
                <w:sz w:val="20"/>
                <w:szCs w:val="20"/>
              </w:rPr>
            </w:pPr>
            <w:r w:rsidRPr="00E77FBC">
              <w:rPr>
                <w:rFonts w:ascii="Arial" w:hAnsi="Arial" w:cs="Arial"/>
                <w:b/>
                <w:bCs/>
                <w:sz w:val="20"/>
                <w:szCs w:val="20"/>
              </w:rPr>
              <w:t xml:space="preserve"> </w:t>
            </w:r>
            <w:proofErr w:type="gramStart"/>
            <w:r w:rsidRPr="00E77FBC">
              <w:rPr>
                <w:rFonts w:ascii="Arial" w:hAnsi="Arial" w:cs="Arial"/>
                <w:b/>
                <w:bCs/>
                <w:sz w:val="20"/>
                <w:szCs w:val="20"/>
              </w:rPr>
              <w:t>reçu</w:t>
            </w:r>
            <w:proofErr w:type="gramEnd"/>
            <w:r w:rsidRPr="00E77FBC">
              <w:rPr>
                <w:rFonts w:ascii="Arial" w:hAnsi="Arial" w:cs="Arial"/>
                <w:b/>
                <w:bCs/>
                <w:sz w:val="20"/>
                <w:szCs w:val="20"/>
              </w:rPr>
              <w:t xml:space="preserve"> 2</w:t>
            </w:r>
          </w:p>
        </w:tc>
        <w:tc>
          <w:tcPr>
            <w:tcW w:w="1134" w:type="dxa"/>
            <w:shd w:val="clear" w:color="D9E7FD" w:fill="D9E7FD"/>
            <w:noWrap/>
            <w:vAlign w:val="center"/>
            <w:hideMark/>
          </w:tcPr>
          <w:p w14:paraId="1FD27CFF" w14:textId="77777777" w:rsidR="00CA349D" w:rsidRPr="000D1C14" w:rsidRDefault="00CA349D" w:rsidP="00A73DE8">
            <w:pPr>
              <w:jc w:val="center"/>
              <w:rPr>
                <w:rFonts w:ascii="Arial" w:hAnsi="Arial" w:cs="Arial"/>
                <w:b/>
                <w:bCs/>
                <w:color w:val="000000"/>
                <w:sz w:val="20"/>
                <w:szCs w:val="20"/>
              </w:rPr>
            </w:pPr>
            <w:r w:rsidRPr="000D1C14">
              <w:rPr>
                <w:rFonts w:ascii="Arial" w:hAnsi="Arial" w:cs="Arial"/>
                <w:b/>
                <w:bCs/>
                <w:color w:val="000000"/>
                <w:sz w:val="20"/>
                <w:szCs w:val="20"/>
              </w:rPr>
              <w:t>1 semaine</w:t>
            </w:r>
          </w:p>
        </w:tc>
        <w:tc>
          <w:tcPr>
            <w:tcW w:w="1322" w:type="dxa"/>
            <w:shd w:val="clear" w:color="D9E7FD" w:fill="D9E7FD"/>
            <w:noWrap/>
            <w:vAlign w:val="center"/>
            <w:hideMark/>
          </w:tcPr>
          <w:p w14:paraId="6912149B" w14:textId="77777777" w:rsidR="00CA349D" w:rsidRPr="000D1C14" w:rsidRDefault="00CA349D" w:rsidP="00A73DE8">
            <w:pPr>
              <w:jc w:val="center"/>
              <w:rPr>
                <w:rFonts w:ascii="Arial" w:hAnsi="Arial" w:cs="Arial"/>
                <w:b/>
                <w:bCs/>
                <w:color w:val="000000"/>
                <w:sz w:val="20"/>
                <w:szCs w:val="20"/>
              </w:rPr>
            </w:pPr>
            <w:r w:rsidRPr="000D1C14">
              <w:rPr>
                <w:rFonts w:ascii="Arial" w:hAnsi="Arial" w:cs="Arial"/>
                <w:b/>
                <w:bCs/>
                <w:color w:val="000000"/>
                <w:sz w:val="20"/>
                <w:szCs w:val="20"/>
              </w:rPr>
              <w:t>2 semaines</w:t>
            </w:r>
          </w:p>
        </w:tc>
        <w:tc>
          <w:tcPr>
            <w:tcW w:w="1276" w:type="dxa"/>
            <w:shd w:val="clear" w:color="D9E7FD" w:fill="D9E7FD"/>
            <w:noWrap/>
            <w:vAlign w:val="center"/>
            <w:hideMark/>
          </w:tcPr>
          <w:p w14:paraId="75AD7392" w14:textId="77777777" w:rsidR="00CA349D" w:rsidRPr="000D1C14" w:rsidRDefault="00CA349D" w:rsidP="00A73DE8">
            <w:pPr>
              <w:jc w:val="center"/>
              <w:rPr>
                <w:rFonts w:ascii="Arial" w:hAnsi="Arial" w:cs="Arial"/>
                <w:b/>
                <w:bCs/>
                <w:color w:val="000000"/>
                <w:sz w:val="20"/>
                <w:szCs w:val="20"/>
              </w:rPr>
            </w:pPr>
            <w:r w:rsidRPr="000D1C14">
              <w:rPr>
                <w:rFonts w:ascii="Arial" w:hAnsi="Arial" w:cs="Arial"/>
                <w:b/>
                <w:bCs/>
                <w:color w:val="000000"/>
                <w:sz w:val="20"/>
                <w:szCs w:val="20"/>
              </w:rPr>
              <w:t>3 semaines</w:t>
            </w:r>
          </w:p>
        </w:tc>
        <w:tc>
          <w:tcPr>
            <w:tcW w:w="992" w:type="dxa"/>
            <w:shd w:val="clear" w:color="D9E7FD" w:fill="D9E7FD"/>
            <w:noWrap/>
            <w:vAlign w:val="center"/>
            <w:hideMark/>
          </w:tcPr>
          <w:p w14:paraId="1A378C25" w14:textId="77777777" w:rsidR="00CA349D" w:rsidRPr="000D1C14" w:rsidRDefault="00CA349D" w:rsidP="00A73DE8">
            <w:pPr>
              <w:jc w:val="center"/>
              <w:rPr>
                <w:rFonts w:ascii="Arial" w:hAnsi="Arial" w:cs="Arial"/>
                <w:b/>
                <w:bCs/>
                <w:color w:val="000000"/>
                <w:sz w:val="20"/>
                <w:szCs w:val="20"/>
              </w:rPr>
            </w:pPr>
            <w:r w:rsidRPr="000D1C14">
              <w:rPr>
                <w:rFonts w:ascii="Arial" w:hAnsi="Arial" w:cs="Arial"/>
                <w:b/>
                <w:bCs/>
                <w:color w:val="000000"/>
                <w:sz w:val="20"/>
                <w:szCs w:val="20"/>
              </w:rPr>
              <w:t>1 mois</w:t>
            </w:r>
          </w:p>
        </w:tc>
        <w:tc>
          <w:tcPr>
            <w:tcW w:w="1088" w:type="dxa"/>
            <w:shd w:val="clear" w:color="D9E7FD" w:fill="D9E7FD"/>
            <w:noWrap/>
            <w:vAlign w:val="center"/>
            <w:hideMark/>
          </w:tcPr>
          <w:p w14:paraId="600834B1" w14:textId="77777777" w:rsidR="00CA349D" w:rsidRPr="000D1C14" w:rsidRDefault="00CA349D" w:rsidP="00A73DE8">
            <w:pPr>
              <w:jc w:val="center"/>
              <w:rPr>
                <w:rFonts w:ascii="Arial" w:hAnsi="Arial" w:cs="Arial"/>
                <w:b/>
                <w:bCs/>
                <w:color w:val="000000"/>
                <w:sz w:val="20"/>
                <w:szCs w:val="20"/>
              </w:rPr>
            </w:pPr>
            <w:r w:rsidRPr="000D1C14">
              <w:rPr>
                <w:rFonts w:ascii="Arial" w:hAnsi="Arial" w:cs="Arial"/>
                <w:b/>
                <w:bCs/>
                <w:color w:val="000000"/>
                <w:sz w:val="20"/>
                <w:szCs w:val="20"/>
              </w:rPr>
              <w:t xml:space="preserve">Plus 1 mois </w:t>
            </w:r>
          </w:p>
        </w:tc>
      </w:tr>
      <w:tr w:rsidR="0042161C" w:rsidRPr="000D1C14" w14:paraId="2B092EDB" w14:textId="77777777" w:rsidTr="0042161C">
        <w:trPr>
          <w:trHeight w:val="264"/>
        </w:trPr>
        <w:tc>
          <w:tcPr>
            <w:tcW w:w="2263" w:type="dxa"/>
            <w:shd w:val="clear" w:color="auto" w:fill="FBD4B4" w:themeFill="accent6" w:themeFillTint="66"/>
            <w:noWrap/>
            <w:vAlign w:val="center"/>
            <w:hideMark/>
          </w:tcPr>
          <w:p w14:paraId="130478C7" w14:textId="77777777" w:rsidR="00CA349D" w:rsidRPr="000D1C14" w:rsidRDefault="00CA349D" w:rsidP="00A73DE8">
            <w:pPr>
              <w:rPr>
                <w:rFonts w:ascii="Arial" w:hAnsi="Arial" w:cs="Arial"/>
                <w:b/>
                <w:bCs/>
                <w:color w:val="000000"/>
                <w:sz w:val="20"/>
                <w:szCs w:val="20"/>
              </w:rPr>
            </w:pPr>
            <w:r w:rsidRPr="000D1C14">
              <w:rPr>
                <w:rFonts w:ascii="Arial" w:hAnsi="Arial" w:cs="Arial"/>
                <w:b/>
                <w:bCs/>
                <w:color w:val="000000"/>
                <w:sz w:val="20"/>
                <w:szCs w:val="20"/>
              </w:rPr>
              <w:t>Maradi</w:t>
            </w:r>
          </w:p>
        </w:tc>
        <w:tc>
          <w:tcPr>
            <w:tcW w:w="1280" w:type="dxa"/>
            <w:shd w:val="clear" w:color="auto" w:fill="FBD4B4" w:themeFill="accent6" w:themeFillTint="66"/>
            <w:noWrap/>
            <w:vAlign w:val="center"/>
            <w:hideMark/>
          </w:tcPr>
          <w:p w14:paraId="2D9A1FF1" w14:textId="77777777" w:rsidR="00CA349D" w:rsidRPr="00E77FBC" w:rsidRDefault="00CA349D" w:rsidP="00A73DE8">
            <w:pPr>
              <w:jc w:val="right"/>
              <w:rPr>
                <w:rFonts w:ascii="Arial" w:hAnsi="Arial" w:cs="Arial"/>
                <w:b/>
                <w:bCs/>
                <w:sz w:val="20"/>
                <w:szCs w:val="20"/>
              </w:rPr>
            </w:pPr>
            <w:r w:rsidRPr="00E77FBC">
              <w:rPr>
                <w:rFonts w:ascii="Arial" w:hAnsi="Arial" w:cs="Arial"/>
                <w:b/>
                <w:bCs/>
                <w:sz w:val="20"/>
                <w:szCs w:val="20"/>
              </w:rPr>
              <w:t>11</w:t>
            </w:r>
          </w:p>
        </w:tc>
        <w:tc>
          <w:tcPr>
            <w:tcW w:w="1134" w:type="dxa"/>
            <w:shd w:val="clear" w:color="auto" w:fill="FBD4B4" w:themeFill="accent6" w:themeFillTint="66"/>
            <w:noWrap/>
            <w:vAlign w:val="center"/>
            <w:hideMark/>
          </w:tcPr>
          <w:p w14:paraId="0CC83C7E"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24</w:t>
            </w:r>
          </w:p>
        </w:tc>
        <w:tc>
          <w:tcPr>
            <w:tcW w:w="1322" w:type="dxa"/>
            <w:shd w:val="clear" w:color="auto" w:fill="FBD4B4" w:themeFill="accent6" w:themeFillTint="66"/>
            <w:noWrap/>
            <w:vAlign w:val="center"/>
            <w:hideMark/>
          </w:tcPr>
          <w:p w14:paraId="78C55C60"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31</w:t>
            </w:r>
          </w:p>
        </w:tc>
        <w:tc>
          <w:tcPr>
            <w:tcW w:w="1276" w:type="dxa"/>
            <w:shd w:val="clear" w:color="auto" w:fill="FBD4B4" w:themeFill="accent6" w:themeFillTint="66"/>
            <w:noWrap/>
            <w:vAlign w:val="center"/>
            <w:hideMark/>
          </w:tcPr>
          <w:p w14:paraId="4675CE54"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16</w:t>
            </w:r>
          </w:p>
        </w:tc>
        <w:tc>
          <w:tcPr>
            <w:tcW w:w="992" w:type="dxa"/>
            <w:shd w:val="clear" w:color="auto" w:fill="FBD4B4" w:themeFill="accent6" w:themeFillTint="66"/>
            <w:noWrap/>
            <w:vAlign w:val="center"/>
            <w:hideMark/>
          </w:tcPr>
          <w:p w14:paraId="3079454F"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7</w:t>
            </w:r>
          </w:p>
        </w:tc>
        <w:tc>
          <w:tcPr>
            <w:tcW w:w="1088" w:type="dxa"/>
            <w:shd w:val="clear" w:color="auto" w:fill="FBD4B4" w:themeFill="accent6" w:themeFillTint="66"/>
            <w:noWrap/>
            <w:vAlign w:val="center"/>
            <w:hideMark/>
          </w:tcPr>
          <w:p w14:paraId="3764A48B"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2</w:t>
            </w:r>
          </w:p>
        </w:tc>
      </w:tr>
      <w:tr w:rsidR="00CA349D" w:rsidRPr="000D1C14" w14:paraId="0A62A914" w14:textId="77777777" w:rsidTr="0042161C">
        <w:trPr>
          <w:trHeight w:val="264"/>
        </w:trPr>
        <w:tc>
          <w:tcPr>
            <w:tcW w:w="2263" w:type="dxa"/>
            <w:shd w:val="clear" w:color="auto" w:fill="auto"/>
            <w:noWrap/>
            <w:vAlign w:val="center"/>
            <w:hideMark/>
          </w:tcPr>
          <w:p w14:paraId="1A57508B" w14:textId="77777777" w:rsidR="00CA349D" w:rsidRPr="000D1C14" w:rsidRDefault="00CA349D" w:rsidP="00A73DE8">
            <w:pPr>
              <w:ind w:firstLineChars="100" w:firstLine="200"/>
              <w:rPr>
                <w:rFonts w:ascii="Arial" w:hAnsi="Arial" w:cs="Arial"/>
                <w:color w:val="000000"/>
                <w:sz w:val="20"/>
                <w:szCs w:val="20"/>
              </w:rPr>
            </w:pPr>
            <w:proofErr w:type="spellStart"/>
            <w:r w:rsidRPr="000D1C14">
              <w:rPr>
                <w:rFonts w:ascii="Arial" w:hAnsi="Arial" w:cs="Arial"/>
                <w:color w:val="000000"/>
                <w:sz w:val="20"/>
                <w:szCs w:val="20"/>
              </w:rPr>
              <w:t>Guidan_Roumdji</w:t>
            </w:r>
            <w:proofErr w:type="spellEnd"/>
          </w:p>
        </w:tc>
        <w:tc>
          <w:tcPr>
            <w:tcW w:w="1280" w:type="dxa"/>
            <w:shd w:val="clear" w:color="auto" w:fill="auto"/>
            <w:noWrap/>
            <w:vAlign w:val="center"/>
            <w:hideMark/>
          </w:tcPr>
          <w:p w14:paraId="22B994D4" w14:textId="77777777" w:rsidR="00CA349D" w:rsidRPr="00E77FBC" w:rsidRDefault="00CA349D" w:rsidP="00A73DE8">
            <w:pPr>
              <w:jc w:val="right"/>
              <w:rPr>
                <w:rFonts w:ascii="Arial" w:hAnsi="Arial" w:cs="Arial"/>
                <w:sz w:val="20"/>
                <w:szCs w:val="20"/>
              </w:rPr>
            </w:pPr>
            <w:r w:rsidRPr="00E77FBC">
              <w:rPr>
                <w:rFonts w:ascii="Arial" w:hAnsi="Arial" w:cs="Arial"/>
                <w:sz w:val="20"/>
                <w:szCs w:val="20"/>
              </w:rPr>
              <w:t>14</w:t>
            </w:r>
          </w:p>
        </w:tc>
        <w:tc>
          <w:tcPr>
            <w:tcW w:w="1134" w:type="dxa"/>
            <w:shd w:val="clear" w:color="auto" w:fill="auto"/>
            <w:noWrap/>
            <w:vAlign w:val="center"/>
            <w:hideMark/>
          </w:tcPr>
          <w:p w14:paraId="448F4290"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8</w:t>
            </w:r>
          </w:p>
        </w:tc>
        <w:tc>
          <w:tcPr>
            <w:tcW w:w="1322" w:type="dxa"/>
            <w:shd w:val="clear" w:color="auto" w:fill="auto"/>
            <w:noWrap/>
            <w:vAlign w:val="center"/>
            <w:hideMark/>
          </w:tcPr>
          <w:p w14:paraId="46F954F8"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12</w:t>
            </w:r>
          </w:p>
        </w:tc>
        <w:tc>
          <w:tcPr>
            <w:tcW w:w="1276" w:type="dxa"/>
            <w:shd w:val="clear" w:color="auto" w:fill="auto"/>
            <w:noWrap/>
            <w:vAlign w:val="center"/>
            <w:hideMark/>
          </w:tcPr>
          <w:p w14:paraId="663D92F2"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5</w:t>
            </w:r>
          </w:p>
        </w:tc>
        <w:tc>
          <w:tcPr>
            <w:tcW w:w="992" w:type="dxa"/>
            <w:shd w:val="clear" w:color="auto" w:fill="auto"/>
            <w:noWrap/>
            <w:vAlign w:val="center"/>
            <w:hideMark/>
          </w:tcPr>
          <w:p w14:paraId="633B3A7C"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5</w:t>
            </w:r>
          </w:p>
        </w:tc>
        <w:tc>
          <w:tcPr>
            <w:tcW w:w="1088" w:type="dxa"/>
            <w:shd w:val="clear" w:color="auto" w:fill="auto"/>
            <w:noWrap/>
            <w:vAlign w:val="center"/>
            <w:hideMark/>
          </w:tcPr>
          <w:p w14:paraId="723F8873" w14:textId="77777777" w:rsidR="00CA349D" w:rsidRPr="000D1C14" w:rsidRDefault="00CA349D" w:rsidP="00A73DE8">
            <w:pPr>
              <w:jc w:val="right"/>
              <w:rPr>
                <w:rFonts w:ascii="Arial" w:hAnsi="Arial" w:cs="Arial"/>
                <w:color w:val="000000"/>
                <w:sz w:val="20"/>
                <w:szCs w:val="20"/>
              </w:rPr>
            </w:pPr>
            <w:r>
              <w:rPr>
                <w:rFonts w:ascii="Arial" w:hAnsi="Arial" w:cs="Arial"/>
                <w:color w:val="000000"/>
                <w:sz w:val="20"/>
                <w:szCs w:val="20"/>
              </w:rPr>
              <w:t>0</w:t>
            </w:r>
          </w:p>
        </w:tc>
      </w:tr>
      <w:tr w:rsidR="00CA349D" w:rsidRPr="000D1C14" w14:paraId="5B6F6474" w14:textId="77777777" w:rsidTr="0042161C">
        <w:trPr>
          <w:trHeight w:val="264"/>
        </w:trPr>
        <w:tc>
          <w:tcPr>
            <w:tcW w:w="2263" w:type="dxa"/>
            <w:shd w:val="clear" w:color="auto" w:fill="auto"/>
            <w:noWrap/>
            <w:vAlign w:val="center"/>
            <w:hideMark/>
          </w:tcPr>
          <w:p w14:paraId="05FD1D24" w14:textId="77777777" w:rsidR="00CA349D" w:rsidRPr="000D1C14" w:rsidRDefault="00CA349D" w:rsidP="00A73DE8">
            <w:pPr>
              <w:ind w:firstLineChars="100" w:firstLine="200"/>
              <w:rPr>
                <w:rFonts w:ascii="Arial" w:hAnsi="Arial" w:cs="Arial"/>
                <w:color w:val="000000"/>
                <w:sz w:val="20"/>
                <w:szCs w:val="20"/>
              </w:rPr>
            </w:pPr>
            <w:r w:rsidRPr="000D1C14">
              <w:rPr>
                <w:rFonts w:ascii="Arial" w:hAnsi="Arial" w:cs="Arial"/>
                <w:color w:val="000000"/>
                <w:sz w:val="20"/>
                <w:szCs w:val="20"/>
              </w:rPr>
              <w:t>Tessaoua</w:t>
            </w:r>
          </w:p>
        </w:tc>
        <w:tc>
          <w:tcPr>
            <w:tcW w:w="1280" w:type="dxa"/>
            <w:shd w:val="clear" w:color="auto" w:fill="auto"/>
            <w:noWrap/>
            <w:vAlign w:val="center"/>
            <w:hideMark/>
          </w:tcPr>
          <w:p w14:paraId="5A539C62" w14:textId="77777777" w:rsidR="00CA349D" w:rsidRPr="00E77FBC" w:rsidRDefault="00CA349D" w:rsidP="00A73DE8">
            <w:pPr>
              <w:jc w:val="right"/>
              <w:rPr>
                <w:rFonts w:ascii="Arial" w:hAnsi="Arial" w:cs="Arial"/>
                <w:sz w:val="20"/>
                <w:szCs w:val="20"/>
              </w:rPr>
            </w:pPr>
            <w:r w:rsidRPr="00E77FBC">
              <w:rPr>
                <w:rFonts w:ascii="Arial" w:hAnsi="Arial" w:cs="Arial"/>
                <w:sz w:val="20"/>
                <w:szCs w:val="20"/>
              </w:rPr>
              <w:t>10</w:t>
            </w:r>
          </w:p>
        </w:tc>
        <w:tc>
          <w:tcPr>
            <w:tcW w:w="1134" w:type="dxa"/>
            <w:shd w:val="clear" w:color="auto" w:fill="auto"/>
            <w:noWrap/>
            <w:vAlign w:val="center"/>
            <w:hideMark/>
          </w:tcPr>
          <w:p w14:paraId="54A33F2E"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16</w:t>
            </w:r>
          </w:p>
        </w:tc>
        <w:tc>
          <w:tcPr>
            <w:tcW w:w="1322" w:type="dxa"/>
            <w:shd w:val="clear" w:color="auto" w:fill="auto"/>
            <w:noWrap/>
            <w:vAlign w:val="center"/>
            <w:hideMark/>
          </w:tcPr>
          <w:p w14:paraId="15BBB0EA"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19</w:t>
            </w:r>
          </w:p>
        </w:tc>
        <w:tc>
          <w:tcPr>
            <w:tcW w:w="1276" w:type="dxa"/>
            <w:shd w:val="clear" w:color="auto" w:fill="auto"/>
            <w:noWrap/>
            <w:vAlign w:val="center"/>
            <w:hideMark/>
          </w:tcPr>
          <w:p w14:paraId="5C7EB562"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11</w:t>
            </w:r>
          </w:p>
        </w:tc>
        <w:tc>
          <w:tcPr>
            <w:tcW w:w="992" w:type="dxa"/>
            <w:shd w:val="clear" w:color="auto" w:fill="auto"/>
            <w:noWrap/>
            <w:vAlign w:val="center"/>
            <w:hideMark/>
          </w:tcPr>
          <w:p w14:paraId="0401492C"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2</w:t>
            </w:r>
          </w:p>
        </w:tc>
        <w:tc>
          <w:tcPr>
            <w:tcW w:w="1088" w:type="dxa"/>
            <w:shd w:val="clear" w:color="auto" w:fill="auto"/>
            <w:noWrap/>
            <w:vAlign w:val="center"/>
            <w:hideMark/>
          </w:tcPr>
          <w:p w14:paraId="4060C4EC"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2</w:t>
            </w:r>
          </w:p>
        </w:tc>
      </w:tr>
      <w:tr w:rsidR="0042161C" w:rsidRPr="000D1C14" w14:paraId="4F529829" w14:textId="77777777" w:rsidTr="0042161C">
        <w:trPr>
          <w:trHeight w:val="264"/>
        </w:trPr>
        <w:tc>
          <w:tcPr>
            <w:tcW w:w="2263" w:type="dxa"/>
            <w:shd w:val="clear" w:color="auto" w:fill="FBD4B4" w:themeFill="accent6" w:themeFillTint="66"/>
            <w:noWrap/>
            <w:vAlign w:val="center"/>
            <w:hideMark/>
          </w:tcPr>
          <w:p w14:paraId="5B6DA45C" w14:textId="77777777" w:rsidR="00CA349D" w:rsidRPr="000D1C14" w:rsidRDefault="00CA349D" w:rsidP="00A73DE8">
            <w:pPr>
              <w:rPr>
                <w:rFonts w:ascii="Arial" w:hAnsi="Arial" w:cs="Arial"/>
                <w:b/>
                <w:bCs/>
                <w:color w:val="000000"/>
                <w:sz w:val="20"/>
                <w:szCs w:val="20"/>
              </w:rPr>
            </w:pPr>
            <w:r w:rsidRPr="000D1C14">
              <w:rPr>
                <w:rFonts w:ascii="Arial" w:hAnsi="Arial" w:cs="Arial"/>
                <w:b/>
                <w:bCs/>
                <w:color w:val="000000"/>
                <w:sz w:val="20"/>
                <w:szCs w:val="20"/>
              </w:rPr>
              <w:t>Tahoua</w:t>
            </w:r>
          </w:p>
        </w:tc>
        <w:tc>
          <w:tcPr>
            <w:tcW w:w="1280" w:type="dxa"/>
            <w:shd w:val="clear" w:color="auto" w:fill="FBD4B4" w:themeFill="accent6" w:themeFillTint="66"/>
            <w:noWrap/>
            <w:vAlign w:val="center"/>
            <w:hideMark/>
          </w:tcPr>
          <w:p w14:paraId="18473EAE" w14:textId="77777777" w:rsidR="00CA349D" w:rsidRPr="00E77FBC" w:rsidRDefault="00CA349D" w:rsidP="00A73DE8">
            <w:pPr>
              <w:jc w:val="right"/>
              <w:rPr>
                <w:rFonts w:ascii="Arial" w:hAnsi="Arial" w:cs="Arial"/>
                <w:b/>
                <w:bCs/>
                <w:sz w:val="20"/>
                <w:szCs w:val="20"/>
              </w:rPr>
            </w:pPr>
            <w:r w:rsidRPr="00E77FBC">
              <w:rPr>
                <w:rFonts w:ascii="Arial" w:hAnsi="Arial" w:cs="Arial"/>
                <w:b/>
                <w:bCs/>
                <w:sz w:val="20"/>
                <w:szCs w:val="20"/>
              </w:rPr>
              <w:t>17</w:t>
            </w:r>
          </w:p>
        </w:tc>
        <w:tc>
          <w:tcPr>
            <w:tcW w:w="1134" w:type="dxa"/>
            <w:shd w:val="clear" w:color="auto" w:fill="FBD4B4" w:themeFill="accent6" w:themeFillTint="66"/>
            <w:noWrap/>
            <w:vAlign w:val="center"/>
            <w:hideMark/>
          </w:tcPr>
          <w:p w14:paraId="003C6A36"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39</w:t>
            </w:r>
          </w:p>
        </w:tc>
        <w:tc>
          <w:tcPr>
            <w:tcW w:w="1322" w:type="dxa"/>
            <w:shd w:val="clear" w:color="auto" w:fill="FBD4B4" w:themeFill="accent6" w:themeFillTint="66"/>
            <w:noWrap/>
            <w:vAlign w:val="center"/>
            <w:hideMark/>
          </w:tcPr>
          <w:p w14:paraId="28C35AA8"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30</w:t>
            </w:r>
          </w:p>
        </w:tc>
        <w:tc>
          <w:tcPr>
            <w:tcW w:w="1276" w:type="dxa"/>
            <w:shd w:val="clear" w:color="auto" w:fill="FBD4B4" w:themeFill="accent6" w:themeFillTint="66"/>
            <w:noWrap/>
            <w:vAlign w:val="center"/>
            <w:hideMark/>
          </w:tcPr>
          <w:p w14:paraId="6979ABFB"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4</w:t>
            </w:r>
          </w:p>
        </w:tc>
        <w:tc>
          <w:tcPr>
            <w:tcW w:w="992" w:type="dxa"/>
            <w:shd w:val="clear" w:color="auto" w:fill="FBD4B4" w:themeFill="accent6" w:themeFillTint="66"/>
            <w:noWrap/>
            <w:vAlign w:val="center"/>
            <w:hideMark/>
          </w:tcPr>
          <w:p w14:paraId="7BC7B94F"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4</w:t>
            </w:r>
          </w:p>
        </w:tc>
        <w:tc>
          <w:tcPr>
            <w:tcW w:w="1088" w:type="dxa"/>
            <w:shd w:val="clear" w:color="auto" w:fill="FBD4B4" w:themeFill="accent6" w:themeFillTint="66"/>
            <w:noWrap/>
            <w:vAlign w:val="center"/>
            <w:hideMark/>
          </w:tcPr>
          <w:p w14:paraId="381D18F1"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4</w:t>
            </w:r>
          </w:p>
        </w:tc>
      </w:tr>
      <w:tr w:rsidR="00CA349D" w:rsidRPr="000D1C14" w14:paraId="3791BB99" w14:textId="77777777" w:rsidTr="0042161C">
        <w:trPr>
          <w:trHeight w:val="264"/>
        </w:trPr>
        <w:tc>
          <w:tcPr>
            <w:tcW w:w="2263" w:type="dxa"/>
            <w:shd w:val="clear" w:color="auto" w:fill="auto"/>
            <w:noWrap/>
            <w:vAlign w:val="center"/>
            <w:hideMark/>
          </w:tcPr>
          <w:p w14:paraId="2EA44918" w14:textId="77777777" w:rsidR="00CA349D" w:rsidRPr="000D1C14" w:rsidRDefault="00CA349D" w:rsidP="00A73DE8">
            <w:pPr>
              <w:ind w:firstLineChars="100" w:firstLine="200"/>
              <w:rPr>
                <w:rFonts w:ascii="Arial" w:hAnsi="Arial" w:cs="Arial"/>
                <w:color w:val="000000"/>
                <w:sz w:val="20"/>
                <w:szCs w:val="20"/>
              </w:rPr>
            </w:pPr>
            <w:proofErr w:type="spellStart"/>
            <w:r w:rsidRPr="000D1C14">
              <w:rPr>
                <w:rFonts w:ascii="Arial" w:hAnsi="Arial" w:cs="Arial"/>
                <w:color w:val="000000"/>
                <w:sz w:val="20"/>
                <w:szCs w:val="20"/>
              </w:rPr>
              <w:t>Badaguichiri</w:t>
            </w:r>
            <w:proofErr w:type="spellEnd"/>
          </w:p>
        </w:tc>
        <w:tc>
          <w:tcPr>
            <w:tcW w:w="1280" w:type="dxa"/>
            <w:shd w:val="clear" w:color="auto" w:fill="auto"/>
            <w:noWrap/>
            <w:vAlign w:val="center"/>
            <w:hideMark/>
          </w:tcPr>
          <w:p w14:paraId="6F94DC48" w14:textId="77777777" w:rsidR="00CA349D" w:rsidRPr="00E77FBC" w:rsidRDefault="00CA349D" w:rsidP="00A73DE8">
            <w:pPr>
              <w:jc w:val="right"/>
              <w:rPr>
                <w:rFonts w:ascii="Arial" w:hAnsi="Arial" w:cs="Arial"/>
                <w:sz w:val="20"/>
                <w:szCs w:val="20"/>
              </w:rPr>
            </w:pPr>
            <w:r w:rsidRPr="00E77FBC">
              <w:rPr>
                <w:rFonts w:ascii="Arial" w:hAnsi="Arial" w:cs="Arial"/>
                <w:sz w:val="20"/>
                <w:szCs w:val="20"/>
              </w:rPr>
              <w:t>16</w:t>
            </w:r>
          </w:p>
        </w:tc>
        <w:tc>
          <w:tcPr>
            <w:tcW w:w="1134" w:type="dxa"/>
            <w:shd w:val="clear" w:color="auto" w:fill="auto"/>
            <w:noWrap/>
            <w:vAlign w:val="center"/>
            <w:hideMark/>
          </w:tcPr>
          <w:p w14:paraId="3CD3A9B2"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24</w:t>
            </w:r>
          </w:p>
        </w:tc>
        <w:tc>
          <w:tcPr>
            <w:tcW w:w="1322" w:type="dxa"/>
            <w:shd w:val="clear" w:color="auto" w:fill="auto"/>
            <w:noWrap/>
            <w:vAlign w:val="center"/>
            <w:hideMark/>
          </w:tcPr>
          <w:p w14:paraId="1F21EF1A"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12</w:t>
            </w:r>
          </w:p>
        </w:tc>
        <w:tc>
          <w:tcPr>
            <w:tcW w:w="1276" w:type="dxa"/>
            <w:shd w:val="clear" w:color="auto" w:fill="auto"/>
            <w:noWrap/>
            <w:vAlign w:val="center"/>
            <w:hideMark/>
          </w:tcPr>
          <w:p w14:paraId="73DE7F53"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2</w:t>
            </w:r>
          </w:p>
        </w:tc>
        <w:tc>
          <w:tcPr>
            <w:tcW w:w="992" w:type="dxa"/>
            <w:shd w:val="clear" w:color="auto" w:fill="auto"/>
            <w:noWrap/>
            <w:vAlign w:val="center"/>
            <w:hideMark/>
          </w:tcPr>
          <w:p w14:paraId="39C78CE9"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3</w:t>
            </w:r>
          </w:p>
        </w:tc>
        <w:tc>
          <w:tcPr>
            <w:tcW w:w="1088" w:type="dxa"/>
            <w:shd w:val="clear" w:color="auto" w:fill="auto"/>
            <w:noWrap/>
            <w:vAlign w:val="center"/>
            <w:hideMark/>
          </w:tcPr>
          <w:p w14:paraId="3775A6EE"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w:t>
            </w:r>
          </w:p>
        </w:tc>
      </w:tr>
      <w:tr w:rsidR="00CA349D" w:rsidRPr="000D1C14" w14:paraId="0952B62C" w14:textId="77777777" w:rsidTr="0042161C">
        <w:trPr>
          <w:trHeight w:val="264"/>
        </w:trPr>
        <w:tc>
          <w:tcPr>
            <w:tcW w:w="2263" w:type="dxa"/>
            <w:shd w:val="clear" w:color="auto" w:fill="auto"/>
            <w:noWrap/>
            <w:vAlign w:val="center"/>
            <w:hideMark/>
          </w:tcPr>
          <w:p w14:paraId="6CD6ACD4" w14:textId="77777777" w:rsidR="00CA349D" w:rsidRPr="000D1C14" w:rsidRDefault="00CA349D" w:rsidP="00A73DE8">
            <w:pPr>
              <w:ind w:firstLineChars="100" w:firstLine="200"/>
              <w:rPr>
                <w:rFonts w:ascii="Arial" w:hAnsi="Arial" w:cs="Arial"/>
                <w:color w:val="000000"/>
                <w:sz w:val="20"/>
                <w:szCs w:val="20"/>
              </w:rPr>
            </w:pPr>
            <w:r w:rsidRPr="000D1C14">
              <w:rPr>
                <w:rFonts w:ascii="Arial" w:hAnsi="Arial" w:cs="Arial"/>
                <w:color w:val="000000"/>
                <w:sz w:val="20"/>
                <w:szCs w:val="20"/>
              </w:rPr>
              <w:t>Karofane</w:t>
            </w:r>
          </w:p>
        </w:tc>
        <w:tc>
          <w:tcPr>
            <w:tcW w:w="1280" w:type="dxa"/>
            <w:shd w:val="clear" w:color="auto" w:fill="auto"/>
            <w:noWrap/>
            <w:vAlign w:val="center"/>
            <w:hideMark/>
          </w:tcPr>
          <w:p w14:paraId="02B12F77" w14:textId="77777777" w:rsidR="00CA349D" w:rsidRPr="00E77FBC" w:rsidRDefault="00CA349D" w:rsidP="00A73DE8">
            <w:pPr>
              <w:jc w:val="right"/>
              <w:rPr>
                <w:rFonts w:ascii="Arial" w:hAnsi="Arial" w:cs="Arial"/>
                <w:sz w:val="20"/>
                <w:szCs w:val="20"/>
              </w:rPr>
            </w:pPr>
            <w:r w:rsidRPr="00E77FBC">
              <w:rPr>
                <w:rFonts w:ascii="Arial" w:hAnsi="Arial" w:cs="Arial"/>
                <w:sz w:val="20"/>
                <w:szCs w:val="20"/>
              </w:rPr>
              <w:t>21</w:t>
            </w:r>
          </w:p>
        </w:tc>
        <w:tc>
          <w:tcPr>
            <w:tcW w:w="1134" w:type="dxa"/>
            <w:shd w:val="clear" w:color="auto" w:fill="auto"/>
            <w:noWrap/>
            <w:vAlign w:val="center"/>
            <w:hideMark/>
          </w:tcPr>
          <w:p w14:paraId="627691D0"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3</w:t>
            </w:r>
          </w:p>
        </w:tc>
        <w:tc>
          <w:tcPr>
            <w:tcW w:w="1322" w:type="dxa"/>
            <w:shd w:val="clear" w:color="auto" w:fill="auto"/>
            <w:noWrap/>
            <w:vAlign w:val="center"/>
            <w:hideMark/>
          </w:tcPr>
          <w:p w14:paraId="79C4D17F"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12</w:t>
            </w:r>
          </w:p>
        </w:tc>
        <w:tc>
          <w:tcPr>
            <w:tcW w:w="1276" w:type="dxa"/>
            <w:shd w:val="clear" w:color="auto" w:fill="auto"/>
            <w:noWrap/>
            <w:vAlign w:val="center"/>
            <w:hideMark/>
          </w:tcPr>
          <w:p w14:paraId="0EA5EC6D"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w:t>
            </w:r>
          </w:p>
        </w:tc>
        <w:tc>
          <w:tcPr>
            <w:tcW w:w="992" w:type="dxa"/>
            <w:shd w:val="clear" w:color="auto" w:fill="auto"/>
            <w:noWrap/>
            <w:vAlign w:val="center"/>
            <w:hideMark/>
          </w:tcPr>
          <w:p w14:paraId="0E6BCBAC"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w:t>
            </w:r>
          </w:p>
        </w:tc>
        <w:tc>
          <w:tcPr>
            <w:tcW w:w="1088" w:type="dxa"/>
            <w:shd w:val="clear" w:color="auto" w:fill="auto"/>
            <w:noWrap/>
            <w:vAlign w:val="center"/>
            <w:hideMark/>
          </w:tcPr>
          <w:p w14:paraId="58713031"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w:t>
            </w:r>
          </w:p>
        </w:tc>
      </w:tr>
      <w:tr w:rsidR="00CA349D" w:rsidRPr="000D1C14" w14:paraId="0EA543D8" w14:textId="77777777" w:rsidTr="0042161C">
        <w:trPr>
          <w:trHeight w:val="264"/>
        </w:trPr>
        <w:tc>
          <w:tcPr>
            <w:tcW w:w="2263" w:type="dxa"/>
            <w:shd w:val="clear" w:color="auto" w:fill="auto"/>
            <w:noWrap/>
            <w:vAlign w:val="center"/>
            <w:hideMark/>
          </w:tcPr>
          <w:p w14:paraId="45237ED1" w14:textId="77777777" w:rsidR="00CA349D" w:rsidRPr="000D1C14" w:rsidRDefault="00CA349D" w:rsidP="00A73DE8">
            <w:pPr>
              <w:ind w:firstLineChars="100" w:firstLine="200"/>
              <w:rPr>
                <w:rFonts w:ascii="Arial" w:hAnsi="Arial" w:cs="Arial"/>
                <w:color w:val="000000"/>
                <w:sz w:val="20"/>
                <w:szCs w:val="20"/>
              </w:rPr>
            </w:pPr>
            <w:r w:rsidRPr="000D1C14">
              <w:rPr>
                <w:rFonts w:ascii="Arial" w:hAnsi="Arial" w:cs="Arial"/>
                <w:color w:val="000000"/>
                <w:sz w:val="20"/>
                <w:szCs w:val="20"/>
              </w:rPr>
              <w:t>Tounfafi</w:t>
            </w:r>
          </w:p>
        </w:tc>
        <w:tc>
          <w:tcPr>
            <w:tcW w:w="1280" w:type="dxa"/>
            <w:shd w:val="clear" w:color="auto" w:fill="auto"/>
            <w:noWrap/>
            <w:vAlign w:val="center"/>
            <w:hideMark/>
          </w:tcPr>
          <w:p w14:paraId="7DC4E0AD" w14:textId="77777777" w:rsidR="00CA349D" w:rsidRPr="00E77FBC" w:rsidRDefault="00CA349D" w:rsidP="00A73DE8">
            <w:pPr>
              <w:jc w:val="right"/>
              <w:rPr>
                <w:rFonts w:ascii="Arial" w:hAnsi="Arial" w:cs="Arial"/>
                <w:sz w:val="20"/>
                <w:szCs w:val="20"/>
              </w:rPr>
            </w:pPr>
            <w:r w:rsidRPr="00E77FBC">
              <w:rPr>
                <w:rFonts w:ascii="Arial" w:hAnsi="Arial" w:cs="Arial"/>
                <w:sz w:val="20"/>
                <w:szCs w:val="20"/>
              </w:rPr>
              <w:t>16</w:t>
            </w:r>
          </w:p>
        </w:tc>
        <w:tc>
          <w:tcPr>
            <w:tcW w:w="1134" w:type="dxa"/>
            <w:shd w:val="clear" w:color="auto" w:fill="auto"/>
            <w:noWrap/>
            <w:vAlign w:val="center"/>
            <w:hideMark/>
          </w:tcPr>
          <w:p w14:paraId="04EC5B5D"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12</w:t>
            </w:r>
          </w:p>
        </w:tc>
        <w:tc>
          <w:tcPr>
            <w:tcW w:w="1322" w:type="dxa"/>
            <w:shd w:val="clear" w:color="auto" w:fill="auto"/>
            <w:noWrap/>
            <w:vAlign w:val="center"/>
            <w:hideMark/>
          </w:tcPr>
          <w:p w14:paraId="7A79C4D7"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6</w:t>
            </w:r>
          </w:p>
        </w:tc>
        <w:tc>
          <w:tcPr>
            <w:tcW w:w="1276" w:type="dxa"/>
            <w:shd w:val="clear" w:color="auto" w:fill="auto"/>
            <w:noWrap/>
            <w:vAlign w:val="center"/>
            <w:hideMark/>
          </w:tcPr>
          <w:p w14:paraId="2C8165F1"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w:t>
            </w:r>
          </w:p>
        </w:tc>
        <w:tc>
          <w:tcPr>
            <w:tcW w:w="992" w:type="dxa"/>
            <w:shd w:val="clear" w:color="auto" w:fill="auto"/>
            <w:noWrap/>
            <w:vAlign w:val="center"/>
            <w:hideMark/>
          </w:tcPr>
          <w:p w14:paraId="7B308F83" w14:textId="77777777" w:rsidR="00CA349D" w:rsidRPr="000D1C14" w:rsidRDefault="00CA349D" w:rsidP="00A73DE8">
            <w:pPr>
              <w:jc w:val="right"/>
              <w:rPr>
                <w:rFonts w:ascii="Arial" w:hAnsi="Arial" w:cs="Arial"/>
                <w:color w:val="000000"/>
                <w:sz w:val="20"/>
                <w:szCs w:val="20"/>
              </w:rPr>
            </w:pPr>
            <w:r>
              <w:rPr>
                <w:rFonts w:ascii="Arial" w:hAnsi="Arial" w:cs="Arial"/>
                <w:color w:val="000000"/>
                <w:sz w:val="20"/>
                <w:szCs w:val="20"/>
              </w:rPr>
              <w:t>0</w:t>
            </w:r>
          </w:p>
        </w:tc>
        <w:tc>
          <w:tcPr>
            <w:tcW w:w="1088" w:type="dxa"/>
            <w:shd w:val="clear" w:color="auto" w:fill="auto"/>
            <w:noWrap/>
            <w:vAlign w:val="center"/>
            <w:hideMark/>
          </w:tcPr>
          <w:p w14:paraId="10FE80F0"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2</w:t>
            </w:r>
          </w:p>
        </w:tc>
      </w:tr>
      <w:tr w:rsidR="0042161C" w:rsidRPr="000D1C14" w14:paraId="2D57E864" w14:textId="77777777" w:rsidTr="0042161C">
        <w:trPr>
          <w:trHeight w:val="264"/>
        </w:trPr>
        <w:tc>
          <w:tcPr>
            <w:tcW w:w="2263" w:type="dxa"/>
            <w:shd w:val="clear" w:color="auto" w:fill="FBD4B4" w:themeFill="accent6" w:themeFillTint="66"/>
            <w:noWrap/>
            <w:vAlign w:val="center"/>
            <w:hideMark/>
          </w:tcPr>
          <w:p w14:paraId="752861F9" w14:textId="77777777" w:rsidR="00CA349D" w:rsidRPr="000D1C14" w:rsidRDefault="00CA349D" w:rsidP="00A73DE8">
            <w:pPr>
              <w:rPr>
                <w:rFonts w:ascii="Arial" w:hAnsi="Arial" w:cs="Arial"/>
                <w:b/>
                <w:bCs/>
                <w:color w:val="000000"/>
                <w:sz w:val="20"/>
                <w:szCs w:val="20"/>
              </w:rPr>
            </w:pPr>
            <w:r w:rsidRPr="000D1C14">
              <w:rPr>
                <w:rFonts w:ascii="Arial" w:hAnsi="Arial" w:cs="Arial"/>
                <w:b/>
                <w:bCs/>
                <w:color w:val="000000"/>
                <w:sz w:val="20"/>
                <w:szCs w:val="20"/>
              </w:rPr>
              <w:t>Zinder</w:t>
            </w:r>
          </w:p>
        </w:tc>
        <w:tc>
          <w:tcPr>
            <w:tcW w:w="1280" w:type="dxa"/>
            <w:shd w:val="clear" w:color="auto" w:fill="FBD4B4" w:themeFill="accent6" w:themeFillTint="66"/>
            <w:noWrap/>
            <w:vAlign w:val="center"/>
            <w:hideMark/>
          </w:tcPr>
          <w:p w14:paraId="2943899D" w14:textId="77777777" w:rsidR="00CA349D" w:rsidRPr="00E77FBC" w:rsidRDefault="00CA349D" w:rsidP="00A73DE8">
            <w:pPr>
              <w:jc w:val="right"/>
              <w:rPr>
                <w:rFonts w:ascii="Arial" w:hAnsi="Arial" w:cs="Arial"/>
                <w:b/>
                <w:bCs/>
                <w:sz w:val="20"/>
                <w:szCs w:val="20"/>
              </w:rPr>
            </w:pPr>
            <w:r w:rsidRPr="00E77FBC">
              <w:rPr>
                <w:rFonts w:ascii="Arial" w:hAnsi="Arial" w:cs="Arial"/>
                <w:b/>
                <w:bCs/>
                <w:sz w:val="20"/>
                <w:szCs w:val="20"/>
              </w:rPr>
              <w:t>12</w:t>
            </w:r>
          </w:p>
        </w:tc>
        <w:tc>
          <w:tcPr>
            <w:tcW w:w="1134" w:type="dxa"/>
            <w:shd w:val="clear" w:color="auto" w:fill="FBD4B4" w:themeFill="accent6" w:themeFillTint="66"/>
            <w:noWrap/>
            <w:vAlign w:val="center"/>
            <w:hideMark/>
          </w:tcPr>
          <w:p w14:paraId="1F032521"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31</w:t>
            </w:r>
          </w:p>
        </w:tc>
        <w:tc>
          <w:tcPr>
            <w:tcW w:w="1322" w:type="dxa"/>
            <w:shd w:val="clear" w:color="auto" w:fill="FBD4B4" w:themeFill="accent6" w:themeFillTint="66"/>
            <w:noWrap/>
            <w:vAlign w:val="center"/>
            <w:hideMark/>
          </w:tcPr>
          <w:p w14:paraId="56B41557"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13</w:t>
            </w:r>
          </w:p>
        </w:tc>
        <w:tc>
          <w:tcPr>
            <w:tcW w:w="1276" w:type="dxa"/>
            <w:shd w:val="clear" w:color="auto" w:fill="FBD4B4" w:themeFill="accent6" w:themeFillTint="66"/>
            <w:noWrap/>
            <w:vAlign w:val="center"/>
            <w:hideMark/>
          </w:tcPr>
          <w:p w14:paraId="55A386D7"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10</w:t>
            </w:r>
          </w:p>
        </w:tc>
        <w:tc>
          <w:tcPr>
            <w:tcW w:w="992" w:type="dxa"/>
            <w:shd w:val="clear" w:color="auto" w:fill="FBD4B4" w:themeFill="accent6" w:themeFillTint="66"/>
            <w:noWrap/>
            <w:vAlign w:val="center"/>
            <w:hideMark/>
          </w:tcPr>
          <w:p w14:paraId="7D78D6F2"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25</w:t>
            </w:r>
          </w:p>
        </w:tc>
        <w:tc>
          <w:tcPr>
            <w:tcW w:w="1088" w:type="dxa"/>
            <w:shd w:val="clear" w:color="auto" w:fill="FBD4B4" w:themeFill="accent6" w:themeFillTint="66"/>
            <w:noWrap/>
            <w:vAlign w:val="center"/>
            <w:hideMark/>
          </w:tcPr>
          <w:p w14:paraId="1FDAF0E3" w14:textId="77777777" w:rsidR="00CA349D" w:rsidRPr="000D1C14" w:rsidRDefault="00CA349D" w:rsidP="00A73DE8">
            <w:pPr>
              <w:jc w:val="right"/>
              <w:rPr>
                <w:rFonts w:ascii="Arial" w:hAnsi="Arial" w:cs="Arial"/>
                <w:b/>
                <w:bCs/>
                <w:color w:val="000000"/>
                <w:sz w:val="20"/>
                <w:szCs w:val="20"/>
              </w:rPr>
            </w:pPr>
            <w:r>
              <w:rPr>
                <w:rFonts w:ascii="Arial" w:hAnsi="Arial" w:cs="Arial"/>
                <w:b/>
                <w:bCs/>
                <w:color w:val="000000"/>
                <w:sz w:val="20"/>
                <w:szCs w:val="20"/>
              </w:rPr>
              <w:t>0</w:t>
            </w:r>
          </w:p>
        </w:tc>
      </w:tr>
      <w:tr w:rsidR="00CA349D" w:rsidRPr="000D1C14" w14:paraId="0549AE0F" w14:textId="77777777" w:rsidTr="0042161C">
        <w:trPr>
          <w:trHeight w:val="264"/>
        </w:trPr>
        <w:tc>
          <w:tcPr>
            <w:tcW w:w="2263" w:type="dxa"/>
            <w:shd w:val="clear" w:color="auto" w:fill="auto"/>
            <w:noWrap/>
            <w:vAlign w:val="center"/>
            <w:hideMark/>
          </w:tcPr>
          <w:p w14:paraId="207B1973" w14:textId="77777777" w:rsidR="00CA349D" w:rsidRPr="000D1C14" w:rsidRDefault="00CA349D" w:rsidP="00A73DE8">
            <w:pPr>
              <w:ind w:firstLineChars="100" w:firstLine="200"/>
              <w:rPr>
                <w:rFonts w:ascii="Arial" w:hAnsi="Arial" w:cs="Arial"/>
                <w:color w:val="000000"/>
                <w:sz w:val="20"/>
                <w:szCs w:val="20"/>
              </w:rPr>
            </w:pPr>
            <w:r w:rsidRPr="000D1C14">
              <w:rPr>
                <w:rFonts w:ascii="Arial" w:hAnsi="Arial" w:cs="Arial"/>
                <w:color w:val="000000"/>
                <w:sz w:val="20"/>
                <w:szCs w:val="20"/>
              </w:rPr>
              <w:t>Bande</w:t>
            </w:r>
          </w:p>
        </w:tc>
        <w:tc>
          <w:tcPr>
            <w:tcW w:w="1280" w:type="dxa"/>
            <w:shd w:val="clear" w:color="auto" w:fill="auto"/>
            <w:noWrap/>
            <w:vAlign w:val="center"/>
            <w:hideMark/>
          </w:tcPr>
          <w:p w14:paraId="2D8C1171" w14:textId="77777777" w:rsidR="00CA349D" w:rsidRPr="00E77FBC" w:rsidRDefault="00CA349D" w:rsidP="00A73DE8">
            <w:pPr>
              <w:jc w:val="right"/>
              <w:rPr>
                <w:rFonts w:ascii="Arial" w:hAnsi="Arial" w:cs="Arial"/>
                <w:sz w:val="20"/>
                <w:szCs w:val="20"/>
              </w:rPr>
            </w:pPr>
            <w:r w:rsidRPr="00E77FBC">
              <w:rPr>
                <w:rFonts w:ascii="Arial" w:hAnsi="Arial" w:cs="Arial"/>
                <w:sz w:val="20"/>
                <w:szCs w:val="20"/>
              </w:rPr>
              <w:t>12</w:t>
            </w:r>
          </w:p>
        </w:tc>
        <w:tc>
          <w:tcPr>
            <w:tcW w:w="1134" w:type="dxa"/>
            <w:shd w:val="clear" w:color="auto" w:fill="auto"/>
            <w:noWrap/>
            <w:vAlign w:val="center"/>
            <w:hideMark/>
          </w:tcPr>
          <w:p w14:paraId="7185EC85"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11</w:t>
            </w:r>
          </w:p>
        </w:tc>
        <w:tc>
          <w:tcPr>
            <w:tcW w:w="1322" w:type="dxa"/>
            <w:shd w:val="clear" w:color="auto" w:fill="auto"/>
            <w:noWrap/>
            <w:vAlign w:val="center"/>
            <w:hideMark/>
          </w:tcPr>
          <w:p w14:paraId="39CFADAB"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2</w:t>
            </w:r>
          </w:p>
        </w:tc>
        <w:tc>
          <w:tcPr>
            <w:tcW w:w="1276" w:type="dxa"/>
            <w:shd w:val="clear" w:color="auto" w:fill="auto"/>
            <w:noWrap/>
            <w:vAlign w:val="center"/>
            <w:hideMark/>
          </w:tcPr>
          <w:p w14:paraId="6F463CA1" w14:textId="77777777" w:rsidR="00CA349D" w:rsidRPr="000D1C14" w:rsidRDefault="00CA349D" w:rsidP="00A73DE8">
            <w:pPr>
              <w:jc w:val="right"/>
              <w:rPr>
                <w:rFonts w:ascii="Arial" w:hAnsi="Arial" w:cs="Arial"/>
                <w:color w:val="000000"/>
                <w:sz w:val="20"/>
                <w:szCs w:val="20"/>
              </w:rPr>
            </w:pPr>
            <w:r>
              <w:rPr>
                <w:rFonts w:ascii="Arial" w:hAnsi="Arial" w:cs="Arial"/>
                <w:color w:val="000000"/>
                <w:sz w:val="20"/>
                <w:szCs w:val="20"/>
              </w:rPr>
              <w:t>0</w:t>
            </w:r>
          </w:p>
        </w:tc>
        <w:tc>
          <w:tcPr>
            <w:tcW w:w="992" w:type="dxa"/>
            <w:shd w:val="clear" w:color="auto" w:fill="auto"/>
            <w:noWrap/>
            <w:vAlign w:val="center"/>
            <w:hideMark/>
          </w:tcPr>
          <w:p w14:paraId="7490DF93"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7</w:t>
            </w:r>
          </w:p>
        </w:tc>
        <w:tc>
          <w:tcPr>
            <w:tcW w:w="1088" w:type="dxa"/>
            <w:shd w:val="clear" w:color="auto" w:fill="auto"/>
            <w:noWrap/>
            <w:vAlign w:val="center"/>
            <w:hideMark/>
          </w:tcPr>
          <w:p w14:paraId="74DE0A9A" w14:textId="77777777" w:rsidR="00CA349D" w:rsidRPr="000D1C14" w:rsidRDefault="00CA349D" w:rsidP="00A73DE8">
            <w:pPr>
              <w:jc w:val="right"/>
              <w:rPr>
                <w:rFonts w:ascii="Arial" w:hAnsi="Arial" w:cs="Arial"/>
                <w:color w:val="000000"/>
                <w:sz w:val="20"/>
                <w:szCs w:val="20"/>
              </w:rPr>
            </w:pPr>
            <w:r>
              <w:rPr>
                <w:rFonts w:ascii="Arial" w:hAnsi="Arial" w:cs="Arial"/>
                <w:color w:val="000000"/>
                <w:sz w:val="20"/>
                <w:szCs w:val="20"/>
              </w:rPr>
              <w:t>0</w:t>
            </w:r>
          </w:p>
        </w:tc>
      </w:tr>
      <w:tr w:rsidR="00CA349D" w:rsidRPr="000D1C14" w14:paraId="7B90434C" w14:textId="77777777" w:rsidTr="0042161C">
        <w:trPr>
          <w:trHeight w:val="264"/>
        </w:trPr>
        <w:tc>
          <w:tcPr>
            <w:tcW w:w="2263" w:type="dxa"/>
            <w:shd w:val="clear" w:color="auto" w:fill="auto"/>
            <w:noWrap/>
            <w:vAlign w:val="center"/>
            <w:hideMark/>
          </w:tcPr>
          <w:p w14:paraId="76A72F84" w14:textId="77777777" w:rsidR="00CA349D" w:rsidRPr="000D1C14" w:rsidRDefault="00CA349D" w:rsidP="00A73DE8">
            <w:pPr>
              <w:ind w:firstLineChars="100" w:firstLine="200"/>
              <w:rPr>
                <w:rFonts w:ascii="Arial" w:hAnsi="Arial" w:cs="Arial"/>
                <w:color w:val="000000"/>
                <w:sz w:val="20"/>
                <w:szCs w:val="20"/>
              </w:rPr>
            </w:pPr>
            <w:r w:rsidRPr="000D1C14">
              <w:rPr>
                <w:rFonts w:ascii="Arial" w:hAnsi="Arial" w:cs="Arial"/>
                <w:color w:val="000000"/>
                <w:sz w:val="20"/>
                <w:szCs w:val="20"/>
              </w:rPr>
              <w:t>Doungou</w:t>
            </w:r>
          </w:p>
        </w:tc>
        <w:tc>
          <w:tcPr>
            <w:tcW w:w="1280" w:type="dxa"/>
            <w:shd w:val="clear" w:color="auto" w:fill="auto"/>
            <w:noWrap/>
            <w:vAlign w:val="center"/>
            <w:hideMark/>
          </w:tcPr>
          <w:p w14:paraId="06D6D265" w14:textId="77777777" w:rsidR="00CA349D" w:rsidRPr="00E77FBC" w:rsidRDefault="00CA349D" w:rsidP="00A73DE8">
            <w:pPr>
              <w:jc w:val="right"/>
              <w:rPr>
                <w:rFonts w:ascii="Arial" w:hAnsi="Arial" w:cs="Arial"/>
                <w:sz w:val="20"/>
                <w:szCs w:val="20"/>
              </w:rPr>
            </w:pPr>
            <w:r w:rsidRPr="00E77FBC">
              <w:rPr>
                <w:rFonts w:ascii="Arial" w:hAnsi="Arial" w:cs="Arial"/>
                <w:sz w:val="20"/>
                <w:szCs w:val="20"/>
              </w:rPr>
              <w:t>11</w:t>
            </w:r>
          </w:p>
        </w:tc>
        <w:tc>
          <w:tcPr>
            <w:tcW w:w="1134" w:type="dxa"/>
            <w:shd w:val="clear" w:color="auto" w:fill="auto"/>
            <w:noWrap/>
            <w:vAlign w:val="center"/>
            <w:hideMark/>
          </w:tcPr>
          <w:p w14:paraId="7A520E7B"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13</w:t>
            </w:r>
          </w:p>
        </w:tc>
        <w:tc>
          <w:tcPr>
            <w:tcW w:w="1322" w:type="dxa"/>
            <w:shd w:val="clear" w:color="auto" w:fill="auto"/>
            <w:noWrap/>
            <w:vAlign w:val="center"/>
            <w:hideMark/>
          </w:tcPr>
          <w:p w14:paraId="390281D1"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7</w:t>
            </w:r>
          </w:p>
        </w:tc>
        <w:tc>
          <w:tcPr>
            <w:tcW w:w="1276" w:type="dxa"/>
            <w:shd w:val="clear" w:color="auto" w:fill="auto"/>
            <w:noWrap/>
            <w:vAlign w:val="center"/>
            <w:hideMark/>
          </w:tcPr>
          <w:p w14:paraId="303AEF97"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7</w:t>
            </w:r>
          </w:p>
        </w:tc>
        <w:tc>
          <w:tcPr>
            <w:tcW w:w="992" w:type="dxa"/>
            <w:shd w:val="clear" w:color="auto" w:fill="auto"/>
            <w:noWrap/>
            <w:vAlign w:val="center"/>
            <w:hideMark/>
          </w:tcPr>
          <w:p w14:paraId="60064454"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13</w:t>
            </w:r>
          </w:p>
        </w:tc>
        <w:tc>
          <w:tcPr>
            <w:tcW w:w="1088" w:type="dxa"/>
            <w:shd w:val="clear" w:color="auto" w:fill="auto"/>
            <w:noWrap/>
            <w:vAlign w:val="center"/>
            <w:hideMark/>
          </w:tcPr>
          <w:p w14:paraId="6B782780" w14:textId="77777777" w:rsidR="00CA349D" w:rsidRPr="000D1C14" w:rsidRDefault="00CA349D" w:rsidP="00A73DE8">
            <w:pPr>
              <w:jc w:val="right"/>
              <w:rPr>
                <w:rFonts w:ascii="Arial" w:hAnsi="Arial" w:cs="Arial"/>
                <w:color w:val="000000"/>
                <w:sz w:val="20"/>
                <w:szCs w:val="20"/>
              </w:rPr>
            </w:pPr>
            <w:r>
              <w:rPr>
                <w:rFonts w:ascii="Arial" w:hAnsi="Arial" w:cs="Arial"/>
                <w:color w:val="000000"/>
                <w:sz w:val="20"/>
                <w:szCs w:val="20"/>
              </w:rPr>
              <w:t>0</w:t>
            </w:r>
          </w:p>
        </w:tc>
      </w:tr>
      <w:tr w:rsidR="00CA349D" w:rsidRPr="000D1C14" w14:paraId="71AB693A" w14:textId="77777777" w:rsidTr="0042161C">
        <w:trPr>
          <w:trHeight w:val="264"/>
        </w:trPr>
        <w:tc>
          <w:tcPr>
            <w:tcW w:w="2263" w:type="dxa"/>
            <w:shd w:val="clear" w:color="auto" w:fill="auto"/>
            <w:noWrap/>
            <w:vAlign w:val="center"/>
            <w:hideMark/>
          </w:tcPr>
          <w:p w14:paraId="6872A6BB" w14:textId="77777777" w:rsidR="00CA349D" w:rsidRPr="000D1C14" w:rsidRDefault="00CA349D" w:rsidP="00A73DE8">
            <w:pPr>
              <w:ind w:firstLineChars="100" w:firstLine="200"/>
              <w:rPr>
                <w:rFonts w:ascii="Arial" w:hAnsi="Arial" w:cs="Arial"/>
                <w:color w:val="000000"/>
                <w:sz w:val="20"/>
                <w:szCs w:val="20"/>
              </w:rPr>
            </w:pPr>
            <w:r w:rsidRPr="000D1C14">
              <w:rPr>
                <w:rFonts w:ascii="Arial" w:hAnsi="Arial" w:cs="Arial"/>
                <w:color w:val="000000"/>
                <w:sz w:val="20"/>
                <w:szCs w:val="20"/>
              </w:rPr>
              <w:t>Guidimouni</w:t>
            </w:r>
          </w:p>
        </w:tc>
        <w:tc>
          <w:tcPr>
            <w:tcW w:w="1280" w:type="dxa"/>
            <w:shd w:val="clear" w:color="auto" w:fill="auto"/>
            <w:noWrap/>
            <w:vAlign w:val="center"/>
            <w:hideMark/>
          </w:tcPr>
          <w:p w14:paraId="117331F9" w14:textId="77777777" w:rsidR="00CA349D" w:rsidRPr="00E77FBC" w:rsidRDefault="00CA349D" w:rsidP="00A73DE8">
            <w:pPr>
              <w:jc w:val="right"/>
              <w:rPr>
                <w:rFonts w:ascii="Arial" w:hAnsi="Arial" w:cs="Arial"/>
                <w:sz w:val="20"/>
                <w:szCs w:val="20"/>
              </w:rPr>
            </w:pPr>
            <w:r w:rsidRPr="00E77FBC">
              <w:rPr>
                <w:rFonts w:ascii="Arial" w:hAnsi="Arial" w:cs="Arial"/>
                <w:sz w:val="20"/>
                <w:szCs w:val="20"/>
              </w:rPr>
              <w:t>14</w:t>
            </w:r>
          </w:p>
        </w:tc>
        <w:tc>
          <w:tcPr>
            <w:tcW w:w="1134" w:type="dxa"/>
            <w:shd w:val="clear" w:color="auto" w:fill="auto"/>
            <w:noWrap/>
            <w:vAlign w:val="center"/>
            <w:hideMark/>
          </w:tcPr>
          <w:p w14:paraId="0B50CF5D"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7</w:t>
            </w:r>
          </w:p>
        </w:tc>
        <w:tc>
          <w:tcPr>
            <w:tcW w:w="1322" w:type="dxa"/>
            <w:shd w:val="clear" w:color="auto" w:fill="auto"/>
            <w:noWrap/>
            <w:vAlign w:val="center"/>
            <w:hideMark/>
          </w:tcPr>
          <w:p w14:paraId="362FD536"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4</w:t>
            </w:r>
          </w:p>
        </w:tc>
        <w:tc>
          <w:tcPr>
            <w:tcW w:w="1276" w:type="dxa"/>
            <w:shd w:val="clear" w:color="auto" w:fill="auto"/>
            <w:noWrap/>
            <w:vAlign w:val="center"/>
            <w:hideMark/>
          </w:tcPr>
          <w:p w14:paraId="64135BD2"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3</w:t>
            </w:r>
          </w:p>
        </w:tc>
        <w:tc>
          <w:tcPr>
            <w:tcW w:w="992" w:type="dxa"/>
            <w:shd w:val="clear" w:color="auto" w:fill="auto"/>
            <w:noWrap/>
            <w:vAlign w:val="center"/>
            <w:hideMark/>
          </w:tcPr>
          <w:p w14:paraId="55B67402" w14:textId="77777777" w:rsidR="00CA349D" w:rsidRPr="000D1C14" w:rsidRDefault="00CA349D" w:rsidP="00A73DE8">
            <w:pPr>
              <w:jc w:val="right"/>
              <w:rPr>
                <w:rFonts w:ascii="Arial" w:hAnsi="Arial" w:cs="Arial"/>
                <w:color w:val="000000"/>
                <w:sz w:val="20"/>
                <w:szCs w:val="20"/>
              </w:rPr>
            </w:pPr>
            <w:r w:rsidRPr="000D1C14">
              <w:rPr>
                <w:rFonts w:ascii="Arial" w:hAnsi="Arial" w:cs="Arial"/>
                <w:color w:val="000000"/>
                <w:sz w:val="20"/>
                <w:szCs w:val="20"/>
              </w:rPr>
              <w:t>5</w:t>
            </w:r>
          </w:p>
        </w:tc>
        <w:tc>
          <w:tcPr>
            <w:tcW w:w="1088" w:type="dxa"/>
            <w:shd w:val="clear" w:color="auto" w:fill="auto"/>
            <w:noWrap/>
            <w:vAlign w:val="center"/>
            <w:hideMark/>
          </w:tcPr>
          <w:p w14:paraId="538D6012" w14:textId="77777777" w:rsidR="00CA349D" w:rsidRPr="000D1C14" w:rsidRDefault="00CA349D" w:rsidP="00A73DE8">
            <w:pPr>
              <w:jc w:val="right"/>
              <w:rPr>
                <w:rFonts w:ascii="Arial" w:hAnsi="Arial" w:cs="Arial"/>
                <w:color w:val="000000"/>
                <w:sz w:val="20"/>
                <w:szCs w:val="20"/>
              </w:rPr>
            </w:pPr>
            <w:r>
              <w:rPr>
                <w:rFonts w:ascii="Arial" w:hAnsi="Arial" w:cs="Arial"/>
                <w:color w:val="000000"/>
                <w:sz w:val="20"/>
                <w:szCs w:val="20"/>
              </w:rPr>
              <w:t>0</w:t>
            </w:r>
          </w:p>
        </w:tc>
      </w:tr>
      <w:tr w:rsidR="00CA349D" w:rsidRPr="000D1C14" w14:paraId="7BC71211" w14:textId="77777777" w:rsidTr="0042161C">
        <w:trPr>
          <w:trHeight w:val="264"/>
        </w:trPr>
        <w:tc>
          <w:tcPr>
            <w:tcW w:w="2263" w:type="dxa"/>
            <w:shd w:val="clear" w:color="D9E7FD" w:fill="D9E7FD"/>
            <w:noWrap/>
            <w:vAlign w:val="center"/>
            <w:hideMark/>
          </w:tcPr>
          <w:p w14:paraId="57F0DC57" w14:textId="77777777" w:rsidR="00CA349D" w:rsidRPr="000D1C14" w:rsidRDefault="00CA349D" w:rsidP="00A73DE8">
            <w:pPr>
              <w:rPr>
                <w:rFonts w:ascii="Arial" w:hAnsi="Arial" w:cs="Arial"/>
                <w:b/>
                <w:bCs/>
                <w:color w:val="000000"/>
                <w:sz w:val="20"/>
                <w:szCs w:val="20"/>
              </w:rPr>
            </w:pPr>
            <w:r w:rsidRPr="000D1C14">
              <w:rPr>
                <w:rFonts w:ascii="Arial" w:hAnsi="Arial" w:cs="Arial"/>
                <w:b/>
                <w:bCs/>
                <w:color w:val="000000"/>
                <w:sz w:val="20"/>
                <w:szCs w:val="20"/>
              </w:rPr>
              <w:t>Total général</w:t>
            </w:r>
          </w:p>
        </w:tc>
        <w:tc>
          <w:tcPr>
            <w:tcW w:w="1280" w:type="dxa"/>
            <w:shd w:val="clear" w:color="D9E7FD" w:fill="D9E7FD"/>
            <w:noWrap/>
            <w:vAlign w:val="center"/>
            <w:hideMark/>
          </w:tcPr>
          <w:p w14:paraId="4E41E2A0" w14:textId="77777777" w:rsidR="00CA349D" w:rsidRPr="00E77FBC" w:rsidRDefault="00CA349D" w:rsidP="00A73DE8">
            <w:pPr>
              <w:jc w:val="right"/>
              <w:rPr>
                <w:rFonts w:ascii="Arial" w:hAnsi="Arial" w:cs="Arial"/>
                <w:b/>
                <w:bCs/>
                <w:sz w:val="20"/>
                <w:szCs w:val="20"/>
              </w:rPr>
            </w:pPr>
            <w:r w:rsidRPr="00E77FBC">
              <w:rPr>
                <w:rFonts w:ascii="Arial" w:hAnsi="Arial" w:cs="Arial"/>
                <w:b/>
                <w:bCs/>
                <w:sz w:val="20"/>
                <w:szCs w:val="20"/>
              </w:rPr>
              <w:t>14</w:t>
            </w:r>
          </w:p>
        </w:tc>
        <w:tc>
          <w:tcPr>
            <w:tcW w:w="1134" w:type="dxa"/>
            <w:shd w:val="clear" w:color="D9E7FD" w:fill="D9E7FD"/>
            <w:noWrap/>
            <w:vAlign w:val="center"/>
            <w:hideMark/>
          </w:tcPr>
          <w:p w14:paraId="509FF8FA"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94</w:t>
            </w:r>
          </w:p>
        </w:tc>
        <w:tc>
          <w:tcPr>
            <w:tcW w:w="1322" w:type="dxa"/>
            <w:shd w:val="clear" w:color="D9E7FD" w:fill="D9E7FD"/>
            <w:noWrap/>
            <w:vAlign w:val="center"/>
            <w:hideMark/>
          </w:tcPr>
          <w:p w14:paraId="241F7B65"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74</w:t>
            </w:r>
          </w:p>
        </w:tc>
        <w:tc>
          <w:tcPr>
            <w:tcW w:w="1276" w:type="dxa"/>
            <w:shd w:val="clear" w:color="D9E7FD" w:fill="D9E7FD"/>
            <w:noWrap/>
            <w:vAlign w:val="center"/>
            <w:hideMark/>
          </w:tcPr>
          <w:p w14:paraId="66CD8CBC"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30</w:t>
            </w:r>
          </w:p>
        </w:tc>
        <w:tc>
          <w:tcPr>
            <w:tcW w:w="992" w:type="dxa"/>
            <w:shd w:val="clear" w:color="D9E7FD" w:fill="D9E7FD"/>
            <w:noWrap/>
            <w:vAlign w:val="center"/>
            <w:hideMark/>
          </w:tcPr>
          <w:p w14:paraId="769CE73A"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36</w:t>
            </w:r>
          </w:p>
        </w:tc>
        <w:tc>
          <w:tcPr>
            <w:tcW w:w="1088" w:type="dxa"/>
            <w:shd w:val="clear" w:color="D9E7FD" w:fill="D9E7FD"/>
            <w:noWrap/>
            <w:vAlign w:val="center"/>
            <w:hideMark/>
          </w:tcPr>
          <w:p w14:paraId="7C5FA197" w14:textId="77777777" w:rsidR="00CA349D" w:rsidRPr="000D1C14" w:rsidRDefault="00CA349D" w:rsidP="00A73DE8">
            <w:pPr>
              <w:jc w:val="right"/>
              <w:rPr>
                <w:rFonts w:ascii="Arial" w:hAnsi="Arial" w:cs="Arial"/>
                <w:b/>
                <w:bCs/>
                <w:color w:val="000000"/>
                <w:sz w:val="20"/>
                <w:szCs w:val="20"/>
              </w:rPr>
            </w:pPr>
            <w:r w:rsidRPr="000D1C14">
              <w:rPr>
                <w:rFonts w:ascii="Arial" w:hAnsi="Arial" w:cs="Arial"/>
                <w:b/>
                <w:bCs/>
                <w:color w:val="000000"/>
                <w:sz w:val="20"/>
                <w:szCs w:val="20"/>
              </w:rPr>
              <w:t>6</w:t>
            </w:r>
          </w:p>
        </w:tc>
      </w:tr>
      <w:tr w:rsidR="00110C5D" w:rsidRPr="000D1C14" w14:paraId="3BBB3500" w14:textId="77777777" w:rsidTr="00E77FBC">
        <w:trPr>
          <w:trHeight w:val="264"/>
        </w:trPr>
        <w:tc>
          <w:tcPr>
            <w:tcW w:w="3543" w:type="dxa"/>
            <w:gridSpan w:val="2"/>
            <w:shd w:val="clear" w:color="auto" w:fill="FBD4B4" w:themeFill="accent6" w:themeFillTint="66"/>
            <w:noWrap/>
            <w:vAlign w:val="center"/>
            <w:hideMark/>
          </w:tcPr>
          <w:p w14:paraId="1F0D0BE4" w14:textId="30F30027" w:rsidR="00110C5D" w:rsidRPr="00BD50E4" w:rsidRDefault="00110C5D" w:rsidP="00E77FBC">
            <w:pPr>
              <w:jc w:val="center"/>
              <w:rPr>
                <w:rFonts w:ascii="Arial" w:hAnsi="Arial" w:cs="Arial"/>
                <w:b/>
                <w:bCs/>
                <w:color w:val="FF0000"/>
                <w:sz w:val="20"/>
                <w:szCs w:val="20"/>
              </w:rPr>
            </w:pPr>
            <w:r w:rsidRPr="000D1C14">
              <w:rPr>
                <w:rFonts w:ascii="Arial" w:hAnsi="Arial" w:cs="Arial"/>
                <w:b/>
                <w:bCs/>
                <w:color w:val="000000"/>
                <w:sz w:val="20"/>
                <w:szCs w:val="20"/>
              </w:rPr>
              <w:t>Proportion %</w:t>
            </w:r>
          </w:p>
        </w:tc>
        <w:tc>
          <w:tcPr>
            <w:tcW w:w="1134" w:type="dxa"/>
            <w:shd w:val="clear" w:color="auto" w:fill="FBD4B4" w:themeFill="accent6" w:themeFillTint="66"/>
            <w:noWrap/>
            <w:vAlign w:val="center"/>
            <w:hideMark/>
          </w:tcPr>
          <w:p w14:paraId="528DEB17" w14:textId="77777777" w:rsidR="00110C5D" w:rsidRPr="000D1C14" w:rsidRDefault="00110C5D" w:rsidP="00A73DE8">
            <w:pPr>
              <w:jc w:val="right"/>
              <w:rPr>
                <w:rFonts w:ascii="Arial" w:hAnsi="Arial" w:cs="Arial"/>
                <w:b/>
                <w:bCs/>
                <w:color w:val="000000"/>
                <w:sz w:val="20"/>
                <w:szCs w:val="20"/>
              </w:rPr>
            </w:pPr>
            <w:r w:rsidRPr="000D1C14">
              <w:rPr>
                <w:rFonts w:ascii="Arial" w:hAnsi="Arial" w:cs="Arial"/>
                <w:b/>
                <w:bCs/>
                <w:color w:val="000000"/>
                <w:sz w:val="20"/>
                <w:szCs w:val="20"/>
              </w:rPr>
              <w:t>39%</w:t>
            </w:r>
          </w:p>
        </w:tc>
        <w:tc>
          <w:tcPr>
            <w:tcW w:w="1322" w:type="dxa"/>
            <w:shd w:val="clear" w:color="auto" w:fill="FBD4B4" w:themeFill="accent6" w:themeFillTint="66"/>
            <w:noWrap/>
            <w:vAlign w:val="center"/>
            <w:hideMark/>
          </w:tcPr>
          <w:p w14:paraId="2980B337" w14:textId="77777777" w:rsidR="00110C5D" w:rsidRPr="000D1C14" w:rsidRDefault="00110C5D" w:rsidP="00A73DE8">
            <w:pPr>
              <w:jc w:val="right"/>
              <w:rPr>
                <w:rFonts w:ascii="Arial" w:hAnsi="Arial" w:cs="Arial"/>
                <w:b/>
                <w:bCs/>
                <w:color w:val="000000"/>
                <w:sz w:val="20"/>
                <w:szCs w:val="20"/>
              </w:rPr>
            </w:pPr>
            <w:r w:rsidRPr="000D1C14">
              <w:rPr>
                <w:rFonts w:ascii="Arial" w:hAnsi="Arial" w:cs="Arial"/>
                <w:b/>
                <w:bCs/>
                <w:color w:val="000000"/>
                <w:sz w:val="20"/>
                <w:szCs w:val="20"/>
              </w:rPr>
              <w:t>31%</w:t>
            </w:r>
          </w:p>
        </w:tc>
        <w:tc>
          <w:tcPr>
            <w:tcW w:w="1276" w:type="dxa"/>
            <w:shd w:val="clear" w:color="auto" w:fill="FBD4B4" w:themeFill="accent6" w:themeFillTint="66"/>
            <w:noWrap/>
            <w:vAlign w:val="center"/>
            <w:hideMark/>
          </w:tcPr>
          <w:p w14:paraId="496800FF" w14:textId="77777777" w:rsidR="00110C5D" w:rsidRPr="000D1C14" w:rsidRDefault="00110C5D" w:rsidP="00A73DE8">
            <w:pPr>
              <w:jc w:val="right"/>
              <w:rPr>
                <w:rFonts w:ascii="Arial" w:hAnsi="Arial" w:cs="Arial"/>
                <w:b/>
                <w:bCs/>
                <w:color w:val="000000"/>
                <w:sz w:val="20"/>
                <w:szCs w:val="20"/>
              </w:rPr>
            </w:pPr>
            <w:r w:rsidRPr="000D1C14">
              <w:rPr>
                <w:rFonts w:ascii="Arial" w:hAnsi="Arial" w:cs="Arial"/>
                <w:b/>
                <w:bCs/>
                <w:color w:val="000000"/>
                <w:sz w:val="20"/>
                <w:szCs w:val="20"/>
              </w:rPr>
              <w:t>13%</w:t>
            </w:r>
          </w:p>
        </w:tc>
        <w:tc>
          <w:tcPr>
            <w:tcW w:w="992" w:type="dxa"/>
            <w:shd w:val="clear" w:color="auto" w:fill="FBD4B4" w:themeFill="accent6" w:themeFillTint="66"/>
            <w:noWrap/>
            <w:vAlign w:val="center"/>
            <w:hideMark/>
          </w:tcPr>
          <w:p w14:paraId="35FB236F" w14:textId="77777777" w:rsidR="00110C5D" w:rsidRPr="000D1C14" w:rsidRDefault="00110C5D" w:rsidP="00A73DE8">
            <w:pPr>
              <w:jc w:val="right"/>
              <w:rPr>
                <w:rFonts w:ascii="Arial" w:hAnsi="Arial" w:cs="Arial"/>
                <w:b/>
                <w:bCs/>
                <w:color w:val="000000"/>
                <w:sz w:val="20"/>
                <w:szCs w:val="20"/>
              </w:rPr>
            </w:pPr>
            <w:r w:rsidRPr="000D1C14">
              <w:rPr>
                <w:rFonts w:ascii="Arial" w:hAnsi="Arial" w:cs="Arial"/>
                <w:b/>
                <w:bCs/>
                <w:color w:val="000000"/>
                <w:sz w:val="20"/>
                <w:szCs w:val="20"/>
              </w:rPr>
              <w:t>15%</w:t>
            </w:r>
          </w:p>
        </w:tc>
        <w:tc>
          <w:tcPr>
            <w:tcW w:w="1088" w:type="dxa"/>
            <w:shd w:val="clear" w:color="auto" w:fill="FBD4B4" w:themeFill="accent6" w:themeFillTint="66"/>
            <w:noWrap/>
            <w:vAlign w:val="center"/>
            <w:hideMark/>
          </w:tcPr>
          <w:p w14:paraId="7E8B2945" w14:textId="77777777" w:rsidR="00110C5D" w:rsidRPr="000D1C14" w:rsidRDefault="00110C5D" w:rsidP="00A73DE8">
            <w:pPr>
              <w:jc w:val="right"/>
              <w:rPr>
                <w:rFonts w:ascii="Arial" w:hAnsi="Arial" w:cs="Arial"/>
                <w:b/>
                <w:bCs/>
                <w:color w:val="000000"/>
                <w:sz w:val="20"/>
                <w:szCs w:val="20"/>
              </w:rPr>
            </w:pPr>
            <w:r w:rsidRPr="000D1C14">
              <w:rPr>
                <w:rFonts w:ascii="Arial" w:hAnsi="Arial" w:cs="Arial"/>
                <w:b/>
                <w:bCs/>
                <w:color w:val="000000"/>
                <w:sz w:val="20"/>
                <w:szCs w:val="20"/>
              </w:rPr>
              <w:t>3%</w:t>
            </w:r>
          </w:p>
        </w:tc>
      </w:tr>
    </w:tbl>
    <w:p w14:paraId="17ED216F" w14:textId="2178164A" w:rsidR="00CA349D" w:rsidRDefault="0042161C" w:rsidP="00CA349D">
      <w:pPr>
        <w:tabs>
          <w:tab w:val="left" w:pos="4402"/>
        </w:tabs>
        <w:spacing w:line="276" w:lineRule="auto"/>
        <w:jc w:val="both"/>
        <w:rPr>
          <w:rFonts w:ascii="Bookman Old Style" w:hAnsi="Bookman Old Style" w:cs="Arial"/>
        </w:rPr>
      </w:pPr>
      <w:r w:rsidRPr="000E18CE">
        <w:rPr>
          <w:rFonts w:ascii="Bookman Old Style" w:hAnsi="Bookman Old Style" w:cs="Arial"/>
          <w:sz w:val="18"/>
          <w:szCs w:val="18"/>
        </w:rPr>
        <w:t>Source : Enquête terrain, septembre 2021</w:t>
      </w:r>
    </w:p>
    <w:p w14:paraId="74189852" w14:textId="23E60EC4" w:rsidR="00AB3E71" w:rsidRDefault="00735C0F" w:rsidP="00E32B3F">
      <w:pPr>
        <w:tabs>
          <w:tab w:val="left" w:pos="4402"/>
        </w:tabs>
        <w:spacing w:before="240" w:line="276" w:lineRule="auto"/>
        <w:jc w:val="both"/>
        <w:rPr>
          <w:rFonts w:ascii="Bookman Old Style" w:hAnsi="Bookman Old Style" w:cs="Arial"/>
        </w:rPr>
      </w:pPr>
      <w:r>
        <w:rPr>
          <w:rFonts w:ascii="Bookman Old Style" w:hAnsi="Bookman Old Style" w:cs="Arial"/>
        </w:rPr>
        <w:lastRenderedPageBreak/>
        <w:t xml:space="preserve">La situation par Région nous renseigne que 67% de celles qui ont atteint une durée d’autoconsommation de plus de 1 mois sont dans la région de Tahoua et </w:t>
      </w:r>
      <w:r w:rsidR="00520BF1">
        <w:rPr>
          <w:rFonts w:ascii="Bookman Old Style" w:hAnsi="Bookman Old Style" w:cs="Arial"/>
        </w:rPr>
        <w:t>les restes (</w:t>
      </w:r>
      <w:r>
        <w:rPr>
          <w:rFonts w:ascii="Bookman Old Style" w:hAnsi="Bookman Old Style" w:cs="Arial"/>
        </w:rPr>
        <w:t>33%</w:t>
      </w:r>
      <w:r w:rsidR="00520BF1">
        <w:rPr>
          <w:rFonts w:ascii="Bookman Old Style" w:hAnsi="Bookman Old Style" w:cs="Arial"/>
        </w:rPr>
        <w:t>) sont</w:t>
      </w:r>
      <w:r>
        <w:rPr>
          <w:rFonts w:ascii="Bookman Old Style" w:hAnsi="Bookman Old Style" w:cs="Arial"/>
        </w:rPr>
        <w:t xml:space="preserve"> à Maradi.</w:t>
      </w:r>
      <w:r w:rsidR="00BD50E4">
        <w:rPr>
          <w:rFonts w:ascii="Bookman Old Style" w:hAnsi="Bookman Old Style" w:cs="Arial"/>
        </w:rPr>
        <w:t xml:space="preserve"> Les ménages ayant une durée d’autoconsommation de 3 semaines sont plus rencontrés à Maradi (55%) contre 10% à Tahoua. 96% de celles qui ont atteint 1 mois de consommation sont à Zinder suivi de Maradi avec 19% et 11% à Tahoua.</w:t>
      </w:r>
    </w:p>
    <w:p w14:paraId="754DCA0B" w14:textId="4B72234D" w:rsidR="00AB3E71" w:rsidRDefault="00AB3E71" w:rsidP="00CA349D">
      <w:pPr>
        <w:tabs>
          <w:tab w:val="left" w:pos="4402"/>
        </w:tabs>
        <w:spacing w:line="276" w:lineRule="auto"/>
        <w:jc w:val="both"/>
        <w:rPr>
          <w:rFonts w:ascii="Bookman Old Style" w:hAnsi="Bookman Old Style" w:cs="Arial"/>
        </w:rPr>
      </w:pPr>
    </w:p>
    <w:p w14:paraId="74C115B7" w14:textId="5BBC5C96" w:rsidR="00AB3E71" w:rsidRDefault="00AB3E71" w:rsidP="00C62749">
      <w:pPr>
        <w:tabs>
          <w:tab w:val="left" w:pos="4402"/>
        </w:tabs>
        <w:spacing w:line="276" w:lineRule="auto"/>
        <w:jc w:val="center"/>
        <w:rPr>
          <w:rFonts w:ascii="Bookman Old Style" w:hAnsi="Bookman Old Style" w:cs="Arial"/>
        </w:rPr>
      </w:pPr>
      <w:r>
        <w:rPr>
          <w:noProof/>
        </w:rPr>
        <w:drawing>
          <wp:inline distT="0" distB="0" distL="0" distR="0" wp14:anchorId="6438D05D" wp14:editId="48ED95EA">
            <wp:extent cx="4876800" cy="3002280"/>
            <wp:effectExtent l="0" t="0" r="0" b="7620"/>
            <wp:docPr id="8" name="Graphique 8">
              <a:extLst xmlns:a="http://schemas.openxmlformats.org/drawingml/2006/main">
                <a:ext uri="{FF2B5EF4-FFF2-40B4-BE49-F238E27FC236}">
                  <a16:creationId xmlns:a16="http://schemas.microsoft.com/office/drawing/2014/main" id="{66499AEB-7779-4E8F-A93D-E803E030F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99358D" w14:textId="71B2E005" w:rsidR="00AB3E71" w:rsidRDefault="003D37B5" w:rsidP="003D37B5">
      <w:pPr>
        <w:pStyle w:val="Lgende"/>
        <w:rPr>
          <w:rFonts w:ascii="Bookman Old Style" w:hAnsi="Bookman Old Style" w:cs="Arial"/>
        </w:rPr>
      </w:pPr>
      <w:r>
        <w:t xml:space="preserve">               </w:t>
      </w:r>
      <w:bookmarkStart w:id="55" w:name="_Toc97823229"/>
      <w:r w:rsidR="00290B2A">
        <w:t xml:space="preserve">Figure </w:t>
      </w:r>
      <w:fldSimple w:instr=" SEQ Figure \* ARABIC ">
        <w:r w:rsidR="004F4E33">
          <w:rPr>
            <w:noProof/>
          </w:rPr>
          <w:t>16</w:t>
        </w:r>
      </w:fldSimple>
      <w:r w:rsidR="00290B2A">
        <w:t> : Durée d’autoconsommation 2è cession par Région</w:t>
      </w:r>
      <w:bookmarkEnd w:id="55"/>
    </w:p>
    <w:p w14:paraId="2E7BF866" w14:textId="22777A60" w:rsidR="00AB3E71" w:rsidRDefault="00520BF1" w:rsidP="00A43446">
      <w:pPr>
        <w:tabs>
          <w:tab w:val="left" w:pos="4402"/>
        </w:tabs>
        <w:spacing w:before="240" w:line="276" w:lineRule="auto"/>
        <w:jc w:val="both"/>
        <w:rPr>
          <w:rFonts w:ascii="Bookman Old Style" w:hAnsi="Bookman Old Style" w:cs="Arial"/>
        </w:rPr>
      </w:pPr>
      <w:r>
        <w:rPr>
          <w:rFonts w:ascii="Bookman Old Style" w:hAnsi="Bookman Old Style" w:cs="Arial"/>
        </w:rPr>
        <w:t xml:space="preserve">Par PDE on constate que c’est à </w:t>
      </w:r>
      <w:proofErr w:type="spellStart"/>
      <w:r>
        <w:rPr>
          <w:rFonts w:ascii="Bookman Old Style" w:hAnsi="Bookman Old Style" w:cs="Arial"/>
        </w:rPr>
        <w:t>Badaguichiri</w:t>
      </w:r>
      <w:proofErr w:type="spellEnd"/>
      <w:r>
        <w:rPr>
          <w:rFonts w:ascii="Bookman Old Style" w:hAnsi="Bookman Old Style" w:cs="Arial"/>
        </w:rPr>
        <w:t xml:space="preserve"> qu’on rencontre le plus des bénéficiaires ayant consommé les vivres de la 2è distribution en 1 semaine (26%), suivi de Tessaoua avec 17%.</w:t>
      </w:r>
      <w:r w:rsidR="0037057A">
        <w:rPr>
          <w:rFonts w:ascii="Bookman Old Style" w:hAnsi="Bookman Old Style" w:cs="Arial"/>
        </w:rPr>
        <w:t xml:space="preserve"> Les PDE de Tessaoua et de Tounfafi regroupent 66% des bénéficiaires déclarant une durée d’autoconsommation de plus de 1 mois</w:t>
      </w:r>
      <w:r w:rsidR="007B6F47">
        <w:rPr>
          <w:rFonts w:ascii="Bookman Old Style" w:hAnsi="Bookman Old Style" w:cs="Arial"/>
        </w:rPr>
        <w:t xml:space="preserve"> suivis de ceux de </w:t>
      </w:r>
      <w:proofErr w:type="spellStart"/>
      <w:r w:rsidR="007B6F47">
        <w:rPr>
          <w:rFonts w:ascii="Bookman Old Style" w:hAnsi="Bookman Old Style" w:cs="Arial"/>
        </w:rPr>
        <w:t>Karofane</w:t>
      </w:r>
      <w:proofErr w:type="spellEnd"/>
      <w:r w:rsidR="007B6F47">
        <w:rPr>
          <w:rFonts w:ascii="Bookman Old Style" w:hAnsi="Bookman Old Style" w:cs="Arial"/>
        </w:rPr>
        <w:t xml:space="preserve"> et </w:t>
      </w:r>
      <w:proofErr w:type="spellStart"/>
      <w:r w:rsidR="007B6F47">
        <w:rPr>
          <w:rFonts w:ascii="Bookman Old Style" w:hAnsi="Bookman Old Style" w:cs="Arial"/>
        </w:rPr>
        <w:t>Badaguichiri</w:t>
      </w:r>
      <w:proofErr w:type="spellEnd"/>
      <w:r w:rsidR="007B6F47">
        <w:rPr>
          <w:rFonts w:ascii="Bookman Old Style" w:hAnsi="Bookman Old Style" w:cs="Arial"/>
        </w:rPr>
        <w:t xml:space="preserve"> avec chacun 17%.</w:t>
      </w:r>
      <w:r w:rsidR="00A73D3E">
        <w:rPr>
          <w:rFonts w:ascii="Bookman Old Style" w:hAnsi="Bookman Old Style" w:cs="Arial"/>
        </w:rPr>
        <w:t xml:space="preserve"> </w:t>
      </w:r>
      <w:r w:rsidR="00110C5D">
        <w:rPr>
          <w:rFonts w:ascii="Bookman Old Style" w:hAnsi="Bookman Old Style" w:cs="Arial"/>
        </w:rPr>
        <w:t>Par ailleurs 36% de celles qui ont atteint 1 mois d’autoconsommation sont dans le PDE de Doungou contre 3% à Karofane.</w:t>
      </w:r>
    </w:p>
    <w:p w14:paraId="73ABCCBA" w14:textId="77777777" w:rsidR="00AB3E71" w:rsidRDefault="00AB3E71" w:rsidP="00CA349D">
      <w:pPr>
        <w:tabs>
          <w:tab w:val="left" w:pos="4402"/>
        </w:tabs>
        <w:spacing w:line="276" w:lineRule="auto"/>
        <w:jc w:val="both"/>
        <w:rPr>
          <w:rFonts w:ascii="Bookman Old Style" w:hAnsi="Bookman Old Style" w:cs="Arial"/>
        </w:rPr>
      </w:pPr>
    </w:p>
    <w:p w14:paraId="7F287065" w14:textId="5A70552A" w:rsidR="00CA349D" w:rsidRDefault="00AB3E71" w:rsidP="00C62749">
      <w:pPr>
        <w:tabs>
          <w:tab w:val="left" w:pos="4402"/>
        </w:tabs>
        <w:spacing w:line="276" w:lineRule="auto"/>
        <w:jc w:val="center"/>
        <w:rPr>
          <w:rFonts w:ascii="Bookman Old Style" w:hAnsi="Bookman Old Style" w:cs="Arial"/>
        </w:rPr>
      </w:pPr>
      <w:r>
        <w:rPr>
          <w:noProof/>
        </w:rPr>
        <w:lastRenderedPageBreak/>
        <w:drawing>
          <wp:inline distT="0" distB="0" distL="0" distR="0" wp14:anchorId="22802498" wp14:editId="06B4788D">
            <wp:extent cx="4572000" cy="2743200"/>
            <wp:effectExtent l="0" t="0" r="0" b="0"/>
            <wp:docPr id="7" name="Graphique 7">
              <a:extLst xmlns:a="http://schemas.openxmlformats.org/drawingml/2006/main">
                <a:ext uri="{FF2B5EF4-FFF2-40B4-BE49-F238E27FC236}">
                  <a16:creationId xmlns:a16="http://schemas.microsoft.com/office/drawing/2014/main" id="{12292C11-5372-4C17-91BD-9FFE82820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6CC10F" w14:textId="78A644F4" w:rsidR="00CA349D" w:rsidRDefault="003D37B5" w:rsidP="003D37B5">
      <w:pPr>
        <w:pStyle w:val="Lgende"/>
        <w:rPr>
          <w:rFonts w:ascii="Bookman Old Style" w:hAnsi="Bookman Old Style" w:cs="Arial"/>
        </w:rPr>
      </w:pPr>
      <w:r>
        <w:t xml:space="preserve">                    </w:t>
      </w:r>
      <w:bookmarkStart w:id="56" w:name="_Toc97823230"/>
      <w:r w:rsidR="00290B2A">
        <w:t xml:space="preserve">Figure </w:t>
      </w:r>
      <w:fldSimple w:instr=" SEQ Figure \* ARABIC ">
        <w:r w:rsidR="004F4E33">
          <w:rPr>
            <w:noProof/>
          </w:rPr>
          <w:t>17</w:t>
        </w:r>
      </w:fldSimple>
      <w:r w:rsidR="00290B2A">
        <w:t> : Durée d’autoconsommation 2è cession par PDE</w:t>
      </w:r>
      <w:bookmarkEnd w:id="56"/>
    </w:p>
    <w:p w14:paraId="18501E6E" w14:textId="547B0744" w:rsidR="003F6396" w:rsidRPr="00704D6F" w:rsidRDefault="003F6396" w:rsidP="00940964">
      <w:pPr>
        <w:tabs>
          <w:tab w:val="left" w:pos="4402"/>
        </w:tabs>
        <w:spacing w:before="240" w:line="276" w:lineRule="auto"/>
        <w:rPr>
          <w:rFonts w:ascii="Bookman Old Style" w:hAnsi="Bookman Old Style" w:cs="Arial"/>
          <w:b/>
          <w:bCs/>
          <w:i/>
          <w:iCs/>
        </w:rPr>
      </w:pPr>
      <w:r w:rsidRPr="00704D6F">
        <w:rPr>
          <w:rFonts w:ascii="Bookman Old Style" w:hAnsi="Bookman Old Style" w:cs="Arial"/>
          <w:b/>
          <w:bCs/>
          <w:i/>
          <w:iCs/>
        </w:rPr>
        <w:t>Réduction de période de soudure</w:t>
      </w:r>
    </w:p>
    <w:p w14:paraId="54AC234C" w14:textId="1E90C732" w:rsidR="003F6396" w:rsidRPr="003C2818" w:rsidRDefault="00704D6F" w:rsidP="003C2818">
      <w:pPr>
        <w:spacing w:before="240" w:line="276" w:lineRule="auto"/>
        <w:jc w:val="both"/>
        <w:rPr>
          <w:rFonts w:ascii="Bookman Old Style" w:hAnsi="Bookman Old Style"/>
        </w:rPr>
      </w:pPr>
      <w:r w:rsidRPr="003C2818">
        <w:rPr>
          <w:rFonts w:ascii="Bookman Old Style" w:hAnsi="Bookman Old Style"/>
        </w:rPr>
        <w:t>Les opérations de distribution des vivres aux ménages évoquées ci-haut et les évolutions constatées en terme</w:t>
      </w:r>
      <w:r w:rsidR="003C2818" w:rsidRPr="003C2818">
        <w:rPr>
          <w:rFonts w:ascii="Bookman Old Style" w:hAnsi="Bookman Old Style"/>
        </w:rPr>
        <w:t>s</w:t>
      </w:r>
      <w:r w:rsidRPr="003C2818">
        <w:rPr>
          <w:rFonts w:ascii="Bookman Old Style" w:hAnsi="Bookman Old Style"/>
        </w:rPr>
        <w:t xml:space="preserve"> d’augmentation de nombre de repas par jour sont des </w:t>
      </w:r>
      <w:r w:rsidR="003C2818" w:rsidRPr="003C2818">
        <w:rPr>
          <w:rFonts w:ascii="Bookman Old Style" w:hAnsi="Bookman Old Style"/>
        </w:rPr>
        <w:t>éléments</w:t>
      </w:r>
      <w:r w:rsidRPr="003C2818">
        <w:rPr>
          <w:rFonts w:ascii="Bookman Old Style" w:hAnsi="Bookman Old Style"/>
        </w:rPr>
        <w:t xml:space="preserve"> qui permettent aux bénéficiaires d’apprécier l’impact de GFS dans la réduction de période de soudure. Ainsi, la figure ci-dessous nous indique que cette réduction est affirmée au niveau de toutes les régions </w:t>
      </w:r>
      <w:r w:rsidR="003C2818">
        <w:rPr>
          <w:rFonts w:ascii="Bookman Old Style" w:hAnsi="Bookman Old Style"/>
        </w:rPr>
        <w:t>avec 41% à Tahoua contre 33% et 26%</w:t>
      </w:r>
      <w:r w:rsidR="003C2818" w:rsidRPr="00A9120A">
        <w:rPr>
          <w:rFonts w:ascii="Bookman Old Style" w:hAnsi="Bookman Old Style"/>
        </w:rPr>
        <w:t xml:space="preserve"> </w:t>
      </w:r>
      <w:r w:rsidR="003C2818">
        <w:rPr>
          <w:rFonts w:ascii="Bookman Old Style" w:hAnsi="Bookman Old Style"/>
        </w:rPr>
        <w:t xml:space="preserve">respectivement à Maradi et Zinder. </w:t>
      </w:r>
    </w:p>
    <w:p w14:paraId="3BBF1C73" w14:textId="77777777" w:rsidR="003F6396" w:rsidRDefault="003F6396" w:rsidP="00807B10">
      <w:pPr>
        <w:rPr>
          <w:b/>
        </w:rPr>
      </w:pPr>
    </w:p>
    <w:p w14:paraId="50FD3B2A" w14:textId="77777777" w:rsidR="003F6396" w:rsidRDefault="003F6396" w:rsidP="00B4164B">
      <w:pPr>
        <w:jc w:val="center"/>
        <w:rPr>
          <w:b/>
        </w:rPr>
      </w:pPr>
      <w:r>
        <w:rPr>
          <w:noProof/>
        </w:rPr>
        <w:drawing>
          <wp:inline distT="0" distB="0" distL="0" distR="0" wp14:anchorId="10395647" wp14:editId="02AF90A1">
            <wp:extent cx="4602480" cy="2244090"/>
            <wp:effectExtent l="0" t="0" r="7620" b="3810"/>
            <wp:docPr id="53" name="Graphique 53">
              <a:extLst xmlns:a="http://schemas.openxmlformats.org/drawingml/2006/main">
                <a:ext uri="{FF2B5EF4-FFF2-40B4-BE49-F238E27FC236}">
                  <a16:creationId xmlns:a16="http://schemas.microsoft.com/office/drawing/2014/main" id="{182F69A5-412C-4B6B-9F3C-6E14DA970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BBAEBB" w14:textId="7400DD95" w:rsidR="00CA349D" w:rsidRPr="00B4164B" w:rsidRDefault="003D37B5" w:rsidP="00807B10">
      <w:pPr>
        <w:rPr>
          <w:i/>
          <w:iCs/>
          <w:color w:val="1F497D" w:themeColor="text2"/>
          <w:sz w:val="18"/>
          <w:szCs w:val="18"/>
        </w:rPr>
      </w:pPr>
      <w:r w:rsidRPr="00B4164B">
        <w:rPr>
          <w:i/>
          <w:iCs/>
          <w:color w:val="1F497D" w:themeColor="text2"/>
          <w:sz w:val="18"/>
          <w:szCs w:val="18"/>
        </w:rPr>
        <w:t xml:space="preserve">                   </w:t>
      </w:r>
      <w:bookmarkStart w:id="57" w:name="_Toc97823231"/>
      <w:r w:rsidR="00290B2A" w:rsidRPr="00B4164B">
        <w:rPr>
          <w:i/>
          <w:iCs/>
          <w:color w:val="1F497D" w:themeColor="text2"/>
          <w:sz w:val="18"/>
          <w:szCs w:val="18"/>
        </w:rPr>
        <w:t xml:space="preserve">Figure </w:t>
      </w:r>
      <w:r w:rsidR="00290B2A" w:rsidRPr="00B4164B">
        <w:rPr>
          <w:i/>
          <w:iCs/>
          <w:color w:val="1F497D" w:themeColor="text2"/>
          <w:sz w:val="18"/>
          <w:szCs w:val="18"/>
        </w:rPr>
        <w:fldChar w:fldCharType="begin"/>
      </w:r>
      <w:r w:rsidR="00290B2A" w:rsidRPr="00B4164B">
        <w:rPr>
          <w:i/>
          <w:iCs/>
          <w:color w:val="1F497D" w:themeColor="text2"/>
          <w:sz w:val="18"/>
          <w:szCs w:val="18"/>
        </w:rPr>
        <w:instrText xml:space="preserve"> SEQ Figure \* ARABIC </w:instrText>
      </w:r>
      <w:r w:rsidR="00290B2A" w:rsidRPr="00B4164B">
        <w:rPr>
          <w:i/>
          <w:iCs/>
          <w:color w:val="1F497D" w:themeColor="text2"/>
          <w:sz w:val="18"/>
          <w:szCs w:val="18"/>
        </w:rPr>
        <w:fldChar w:fldCharType="separate"/>
      </w:r>
      <w:r w:rsidR="004F4E33">
        <w:rPr>
          <w:i/>
          <w:iCs/>
          <w:noProof/>
          <w:color w:val="1F497D" w:themeColor="text2"/>
          <w:sz w:val="18"/>
          <w:szCs w:val="18"/>
        </w:rPr>
        <w:t>18</w:t>
      </w:r>
      <w:r w:rsidR="00290B2A" w:rsidRPr="00B4164B">
        <w:rPr>
          <w:i/>
          <w:iCs/>
          <w:color w:val="1F497D" w:themeColor="text2"/>
          <w:sz w:val="18"/>
          <w:szCs w:val="18"/>
        </w:rPr>
        <w:fldChar w:fldCharType="end"/>
      </w:r>
      <w:r w:rsidR="00290B2A" w:rsidRPr="00B4164B">
        <w:rPr>
          <w:i/>
          <w:iCs/>
          <w:color w:val="1F497D" w:themeColor="text2"/>
          <w:sz w:val="18"/>
          <w:szCs w:val="18"/>
        </w:rPr>
        <w:t> : Réduction de période de soudure</w:t>
      </w:r>
      <w:bookmarkEnd w:id="57"/>
    </w:p>
    <w:p w14:paraId="49FFC295" w14:textId="2AC0656C" w:rsidR="00EA40B2" w:rsidRPr="001310BC" w:rsidRDefault="00CA349D" w:rsidP="007739CB">
      <w:pPr>
        <w:pStyle w:val="Titre3"/>
        <w:numPr>
          <w:ilvl w:val="2"/>
          <w:numId w:val="3"/>
        </w:numPr>
        <w:rPr>
          <w:rFonts w:ascii="Bookman Old Style" w:hAnsi="Bookman Old Style" w:cs="Arial"/>
          <w:i/>
          <w:iCs/>
        </w:rPr>
      </w:pPr>
      <w:bookmarkStart w:id="58" w:name="_Toc97822367"/>
      <w:r w:rsidRPr="001310BC">
        <w:rPr>
          <w:rFonts w:ascii="Bookman Old Style" w:hAnsi="Bookman Old Style" w:cs="Arial"/>
          <w:i/>
          <w:iCs/>
        </w:rPr>
        <w:t>R</w:t>
      </w:r>
      <w:r w:rsidR="00EA40B2" w:rsidRPr="001310BC">
        <w:rPr>
          <w:rFonts w:ascii="Bookman Old Style" w:hAnsi="Bookman Old Style" w:cs="Arial"/>
          <w:i/>
          <w:iCs/>
        </w:rPr>
        <w:t>ecours à la main d’œuvre agricole</w:t>
      </w:r>
      <w:bookmarkEnd w:id="58"/>
    </w:p>
    <w:p w14:paraId="23EF1FA9" w14:textId="77777777"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L’un des résultats attendus de GFS est de donner la possibilité aux ménages ruraux pauvres de rester et consacrer beaucoup plus de temps à leurs exploitations agricoles en des périodes très indispensable à l’exploitation des champs.</w:t>
      </w:r>
    </w:p>
    <w:p w14:paraId="279E49DF" w14:textId="77777777" w:rsidR="00CA349D" w:rsidRDefault="00CA349D" w:rsidP="00807B10"/>
    <w:p w14:paraId="7E84C1AE" w14:textId="5F4D0AB1" w:rsidR="00CA349D" w:rsidRPr="00B91700" w:rsidRDefault="00CA349D" w:rsidP="00940964">
      <w:pPr>
        <w:tabs>
          <w:tab w:val="left" w:pos="4402"/>
        </w:tabs>
        <w:spacing w:line="276" w:lineRule="auto"/>
        <w:rPr>
          <w:rFonts w:ascii="Bookman Old Style" w:hAnsi="Bookman Old Style" w:cs="Arial"/>
          <w:b/>
          <w:bCs/>
          <w:i/>
          <w:iCs/>
        </w:rPr>
      </w:pPr>
      <w:r w:rsidRPr="00B91700">
        <w:rPr>
          <w:rFonts w:ascii="Bookman Old Style" w:hAnsi="Bookman Old Style" w:cs="Arial"/>
          <w:b/>
          <w:bCs/>
          <w:i/>
          <w:iCs/>
        </w:rPr>
        <w:lastRenderedPageBreak/>
        <w:t>Recours à la vente de main d’œuvre agricole</w:t>
      </w:r>
    </w:p>
    <w:p w14:paraId="1CC7E508" w14:textId="77777777"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La vente de la main agricole est un des principaux éléments qui contribuent à la « vulnérabilisation » des ménages en milieu rural. Elle consiste à affecter une partie de la main d’œuvre agricole familiale au « salariat agricole » pour un certain temps et ne permet donc pas aux ménages de mobiliser tous les actifs « bras valide » autour de l’exploitation familiale en plein temps.</w:t>
      </w:r>
    </w:p>
    <w:p w14:paraId="0BFE8659" w14:textId="1F3220C4"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 xml:space="preserve">Le </w:t>
      </w:r>
      <w:r w:rsidR="00B91700">
        <w:rPr>
          <w:rFonts w:ascii="Bookman Old Style" w:hAnsi="Bookman Old Style"/>
        </w:rPr>
        <w:t>figure</w:t>
      </w:r>
      <w:r w:rsidRPr="007B5322">
        <w:rPr>
          <w:rFonts w:ascii="Bookman Old Style" w:hAnsi="Bookman Old Style"/>
        </w:rPr>
        <w:t xml:space="preserve"> ci-dessous nous renseigne que cette pratique de vente de main d’œuvre agricole est présente dans toutes les régions d’intervention du ProDAF. Il y a en moyenne 4 actifs agricoles par ménage dans les villages enquêtés lors de cette étude.</w:t>
      </w:r>
    </w:p>
    <w:p w14:paraId="3E74BF3A" w14:textId="3460ABA0"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 xml:space="preserve">Globalement 75% des bras valide des ménages ruraux enquêtés sont concernés avant la mise en place des GFS. A Zinder, ce sont tous les actifs agricoles des ménages enquêtés qui sont concernés par cette main d’œuvre agricole à un certain moment de la campagne agricole. </w:t>
      </w:r>
    </w:p>
    <w:p w14:paraId="7BA4E600" w14:textId="77777777" w:rsidR="007B5322" w:rsidRDefault="007B5322" w:rsidP="00807B10"/>
    <w:p w14:paraId="1FD8E512" w14:textId="77777777" w:rsidR="00CA349D" w:rsidRDefault="00CA349D" w:rsidP="00B4164B">
      <w:pPr>
        <w:jc w:val="center"/>
      </w:pPr>
      <w:r>
        <w:rPr>
          <w:noProof/>
        </w:rPr>
        <w:drawing>
          <wp:inline distT="0" distB="0" distL="0" distR="0" wp14:anchorId="298F2B35" wp14:editId="50992CEC">
            <wp:extent cx="4602480" cy="2426970"/>
            <wp:effectExtent l="0" t="0" r="7620" b="11430"/>
            <wp:docPr id="42" name="Graphique 42">
              <a:extLst xmlns:a="http://schemas.openxmlformats.org/drawingml/2006/main">
                <a:ext uri="{FF2B5EF4-FFF2-40B4-BE49-F238E27FC236}">
                  <a16:creationId xmlns:a16="http://schemas.microsoft.com/office/drawing/2014/main" id="{70E155B2-65FF-47C3-894A-0FC0AB93A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D8A493" w14:textId="658A7BAF" w:rsidR="00CA349D" w:rsidRPr="00B4164B" w:rsidRDefault="00CA349D" w:rsidP="00807B10">
      <w:pPr>
        <w:rPr>
          <w:i/>
          <w:iCs/>
          <w:color w:val="1F497D" w:themeColor="text2"/>
          <w:sz w:val="18"/>
          <w:szCs w:val="18"/>
        </w:rPr>
      </w:pPr>
      <w:r w:rsidRPr="00B4164B">
        <w:rPr>
          <w:i/>
          <w:iCs/>
          <w:color w:val="1F497D" w:themeColor="text2"/>
          <w:sz w:val="18"/>
          <w:szCs w:val="18"/>
        </w:rPr>
        <w:t xml:space="preserve">               </w:t>
      </w:r>
      <w:r w:rsidR="003D37B5" w:rsidRPr="00B4164B">
        <w:rPr>
          <w:i/>
          <w:iCs/>
          <w:color w:val="1F497D" w:themeColor="text2"/>
          <w:sz w:val="18"/>
          <w:szCs w:val="18"/>
        </w:rPr>
        <w:t xml:space="preserve"> </w:t>
      </w:r>
      <w:r w:rsidR="00B4164B">
        <w:rPr>
          <w:i/>
          <w:iCs/>
          <w:color w:val="1F497D" w:themeColor="text2"/>
          <w:sz w:val="18"/>
          <w:szCs w:val="18"/>
        </w:rPr>
        <w:t xml:space="preserve">   </w:t>
      </w:r>
      <w:bookmarkStart w:id="59" w:name="_Toc97823232"/>
      <w:r w:rsidR="00290B2A" w:rsidRPr="00B4164B">
        <w:rPr>
          <w:i/>
          <w:iCs/>
          <w:color w:val="1F497D" w:themeColor="text2"/>
          <w:sz w:val="18"/>
          <w:szCs w:val="18"/>
        </w:rPr>
        <w:t xml:space="preserve">Figure </w:t>
      </w:r>
      <w:r w:rsidR="00290B2A" w:rsidRPr="00B4164B">
        <w:rPr>
          <w:i/>
          <w:iCs/>
          <w:color w:val="1F497D" w:themeColor="text2"/>
          <w:sz w:val="18"/>
          <w:szCs w:val="18"/>
        </w:rPr>
        <w:fldChar w:fldCharType="begin"/>
      </w:r>
      <w:r w:rsidR="00290B2A" w:rsidRPr="00B4164B">
        <w:rPr>
          <w:i/>
          <w:iCs/>
          <w:color w:val="1F497D" w:themeColor="text2"/>
          <w:sz w:val="18"/>
          <w:szCs w:val="18"/>
        </w:rPr>
        <w:instrText xml:space="preserve"> SEQ Figure \* ARABIC </w:instrText>
      </w:r>
      <w:r w:rsidR="00290B2A" w:rsidRPr="00B4164B">
        <w:rPr>
          <w:i/>
          <w:iCs/>
          <w:color w:val="1F497D" w:themeColor="text2"/>
          <w:sz w:val="18"/>
          <w:szCs w:val="18"/>
        </w:rPr>
        <w:fldChar w:fldCharType="separate"/>
      </w:r>
      <w:r w:rsidR="004F4E33">
        <w:rPr>
          <w:i/>
          <w:iCs/>
          <w:noProof/>
          <w:color w:val="1F497D" w:themeColor="text2"/>
          <w:sz w:val="18"/>
          <w:szCs w:val="18"/>
        </w:rPr>
        <w:t>19</w:t>
      </w:r>
      <w:r w:rsidR="00290B2A" w:rsidRPr="00B4164B">
        <w:rPr>
          <w:i/>
          <w:iCs/>
          <w:color w:val="1F497D" w:themeColor="text2"/>
          <w:sz w:val="18"/>
          <w:szCs w:val="18"/>
        </w:rPr>
        <w:fldChar w:fldCharType="end"/>
      </w:r>
      <w:r w:rsidR="00290B2A" w:rsidRPr="00B4164B">
        <w:rPr>
          <w:i/>
          <w:iCs/>
          <w:color w:val="1F497D" w:themeColor="text2"/>
          <w:sz w:val="18"/>
          <w:szCs w:val="18"/>
        </w:rPr>
        <w:t> : recours à la MO agricole avant GFS par Région</w:t>
      </w:r>
      <w:bookmarkEnd w:id="59"/>
    </w:p>
    <w:p w14:paraId="6D25F139" w14:textId="5E845F16"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Le recours de la vente de main d’œuvre agricole s’explique d’une part par l’amenuisement et le morcellement des exploitations agricoles familiales (taille moyenne) et d’autre part par la pression démo</w:t>
      </w:r>
      <w:r w:rsidR="00234096">
        <w:rPr>
          <w:rFonts w:ascii="Bookman Old Style" w:hAnsi="Bookman Old Style"/>
        </w:rPr>
        <w:t>graphique</w:t>
      </w:r>
      <w:r w:rsidRPr="007B5322">
        <w:rPr>
          <w:rFonts w:ascii="Bookman Old Style" w:hAnsi="Bookman Old Style"/>
        </w:rPr>
        <w:t xml:space="preserve"> </w:t>
      </w:r>
      <w:r w:rsidRPr="00C97C7F">
        <w:rPr>
          <w:rFonts w:ascii="Bookman Old Style" w:hAnsi="Bookman Old Style"/>
        </w:rPr>
        <w:t>(</w:t>
      </w:r>
      <w:r w:rsidR="00C97C7F" w:rsidRPr="00C97C7F">
        <w:rPr>
          <w:rFonts w:ascii="Bookman Old Style" w:hAnsi="Bookman Old Style"/>
        </w:rPr>
        <w:t xml:space="preserve">par exemple </w:t>
      </w:r>
      <w:r w:rsidRPr="00C97C7F">
        <w:rPr>
          <w:rFonts w:ascii="Bookman Old Style" w:hAnsi="Bookman Old Style"/>
        </w:rPr>
        <w:t>27hbts/Km² à Zinder, 4,7% taux d’accroissement annuel intercensitaire à Zinder</w:t>
      </w:r>
      <w:r w:rsidR="00C97C7F" w:rsidRPr="00C97C7F">
        <w:rPr>
          <w:rFonts w:ascii="Bookman Old Style" w:hAnsi="Bookman Old Style"/>
        </w:rPr>
        <w:t xml:space="preserve"> en 2012</w:t>
      </w:r>
      <w:r w:rsidRPr="00C97C7F">
        <w:rPr>
          <w:rFonts w:ascii="Bookman Old Style" w:hAnsi="Bookman Old Style"/>
        </w:rPr>
        <w:t>) dont le corolaire est la surexploitation des terres</w:t>
      </w:r>
      <w:r w:rsidRPr="007B5322">
        <w:rPr>
          <w:rFonts w:ascii="Bookman Old Style" w:hAnsi="Bookman Old Style"/>
        </w:rPr>
        <w:t xml:space="preserve"> agricoles et la baisse de fertilité des sols, particulièrement dans la partie Sud agricole des régions d’intervention du ProDAF.  </w:t>
      </w:r>
    </w:p>
    <w:p w14:paraId="33B06005" w14:textId="204550D4" w:rsidR="00CA349D" w:rsidRPr="007B5322" w:rsidRDefault="00A0079A" w:rsidP="007B5322">
      <w:pPr>
        <w:spacing w:before="240" w:line="276" w:lineRule="auto"/>
        <w:jc w:val="both"/>
        <w:rPr>
          <w:rFonts w:ascii="Bookman Old Style" w:hAnsi="Bookman Old Style"/>
        </w:rPr>
      </w:pPr>
      <w:r w:rsidRPr="007B5322">
        <w:rPr>
          <w:rFonts w:ascii="Bookman Old Style" w:hAnsi="Bookman Old Style"/>
        </w:rPr>
        <w:t xml:space="preserve">Le taux d’actifs agricoles mobilisés </w:t>
      </w:r>
      <w:r w:rsidR="00606DFC" w:rsidRPr="007B5322">
        <w:rPr>
          <w:rFonts w:ascii="Bookman Old Style" w:hAnsi="Bookman Old Style"/>
        </w:rPr>
        <w:t xml:space="preserve">pour la main d’œuvre agricole varie de 80% à </w:t>
      </w:r>
      <w:proofErr w:type="spellStart"/>
      <w:r w:rsidR="00606DFC" w:rsidRPr="007B5322">
        <w:rPr>
          <w:rFonts w:ascii="Bookman Old Style" w:hAnsi="Bookman Old Style"/>
        </w:rPr>
        <w:t>Guidan</w:t>
      </w:r>
      <w:proofErr w:type="spellEnd"/>
      <w:r w:rsidR="00606DFC" w:rsidRPr="007B5322">
        <w:rPr>
          <w:rFonts w:ascii="Bookman Old Style" w:hAnsi="Bookman Old Style"/>
        </w:rPr>
        <w:t xml:space="preserve"> </w:t>
      </w:r>
      <w:proofErr w:type="spellStart"/>
      <w:r w:rsidR="00606DFC" w:rsidRPr="007B5322">
        <w:rPr>
          <w:rFonts w:ascii="Bookman Old Style" w:hAnsi="Bookman Old Style"/>
        </w:rPr>
        <w:t>roumdji</w:t>
      </w:r>
      <w:proofErr w:type="spellEnd"/>
      <w:r w:rsidR="00606DFC" w:rsidRPr="007B5322">
        <w:rPr>
          <w:rFonts w:ascii="Bookman Old Style" w:hAnsi="Bookman Old Style"/>
        </w:rPr>
        <w:t xml:space="preserve"> à 60% à Tessaoua, comme nous l’indique </w:t>
      </w:r>
      <w:r w:rsidR="00234096" w:rsidRPr="007B5322">
        <w:rPr>
          <w:rFonts w:ascii="Bookman Old Style" w:hAnsi="Bookman Old Style"/>
        </w:rPr>
        <w:t>cette figure</w:t>
      </w:r>
      <w:r w:rsidR="00606DFC" w:rsidRPr="007B5322">
        <w:rPr>
          <w:rFonts w:ascii="Bookman Old Style" w:hAnsi="Bookman Old Style"/>
        </w:rPr>
        <w:t>.</w:t>
      </w:r>
      <w:r w:rsidRPr="007B5322">
        <w:rPr>
          <w:rFonts w:ascii="Bookman Old Style" w:hAnsi="Bookman Old Style"/>
        </w:rPr>
        <w:t xml:space="preserve"> </w:t>
      </w:r>
    </w:p>
    <w:p w14:paraId="24054130" w14:textId="77777777" w:rsidR="00606DFC" w:rsidRDefault="00606DFC" w:rsidP="007B5322">
      <w:pPr>
        <w:spacing w:before="240"/>
      </w:pPr>
    </w:p>
    <w:p w14:paraId="10606EB9" w14:textId="77777777" w:rsidR="00CA349D" w:rsidRDefault="00CA349D" w:rsidP="00B4164B">
      <w:pPr>
        <w:jc w:val="center"/>
      </w:pPr>
      <w:r>
        <w:rPr>
          <w:noProof/>
        </w:rPr>
        <w:lastRenderedPageBreak/>
        <w:drawing>
          <wp:inline distT="0" distB="0" distL="0" distR="0" wp14:anchorId="6CB1FCE3" wp14:editId="1BDB4494">
            <wp:extent cx="4602480" cy="3135630"/>
            <wp:effectExtent l="0" t="0" r="7620" b="7620"/>
            <wp:docPr id="43" name="Graphique 43">
              <a:extLst xmlns:a="http://schemas.openxmlformats.org/drawingml/2006/main">
                <a:ext uri="{FF2B5EF4-FFF2-40B4-BE49-F238E27FC236}">
                  <a16:creationId xmlns:a16="http://schemas.microsoft.com/office/drawing/2014/main" id="{70E155B2-65FF-47C3-894A-0FC0AB93A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845D96" w14:textId="4DE8D2F0" w:rsidR="00CA349D" w:rsidRPr="00B4164B" w:rsidRDefault="00CA349D" w:rsidP="00807B10">
      <w:pPr>
        <w:rPr>
          <w:i/>
          <w:iCs/>
          <w:color w:val="1F497D" w:themeColor="text2"/>
          <w:sz w:val="18"/>
          <w:szCs w:val="18"/>
        </w:rPr>
      </w:pPr>
      <w:r w:rsidRPr="00B4164B">
        <w:rPr>
          <w:i/>
          <w:iCs/>
          <w:color w:val="1F497D" w:themeColor="text2"/>
          <w:sz w:val="18"/>
          <w:szCs w:val="18"/>
        </w:rPr>
        <w:t xml:space="preserve">                </w:t>
      </w:r>
      <w:r w:rsidR="00B4164B">
        <w:rPr>
          <w:i/>
          <w:iCs/>
          <w:color w:val="1F497D" w:themeColor="text2"/>
          <w:sz w:val="18"/>
          <w:szCs w:val="18"/>
        </w:rPr>
        <w:t xml:space="preserve">   </w:t>
      </w:r>
      <w:bookmarkStart w:id="60" w:name="_Toc97823233"/>
      <w:r w:rsidR="00290B2A" w:rsidRPr="00B4164B">
        <w:rPr>
          <w:i/>
          <w:iCs/>
          <w:color w:val="1F497D" w:themeColor="text2"/>
          <w:sz w:val="18"/>
          <w:szCs w:val="18"/>
        </w:rPr>
        <w:t xml:space="preserve">Figure </w:t>
      </w:r>
      <w:r w:rsidR="00290B2A" w:rsidRPr="00B4164B">
        <w:rPr>
          <w:i/>
          <w:iCs/>
          <w:color w:val="1F497D" w:themeColor="text2"/>
          <w:sz w:val="18"/>
          <w:szCs w:val="18"/>
        </w:rPr>
        <w:fldChar w:fldCharType="begin"/>
      </w:r>
      <w:r w:rsidR="00290B2A" w:rsidRPr="00B4164B">
        <w:rPr>
          <w:i/>
          <w:iCs/>
          <w:color w:val="1F497D" w:themeColor="text2"/>
          <w:sz w:val="18"/>
          <w:szCs w:val="18"/>
        </w:rPr>
        <w:instrText xml:space="preserve"> SEQ Figure \* ARABIC </w:instrText>
      </w:r>
      <w:r w:rsidR="00290B2A" w:rsidRPr="00B4164B">
        <w:rPr>
          <w:i/>
          <w:iCs/>
          <w:color w:val="1F497D" w:themeColor="text2"/>
          <w:sz w:val="18"/>
          <w:szCs w:val="18"/>
        </w:rPr>
        <w:fldChar w:fldCharType="separate"/>
      </w:r>
      <w:r w:rsidR="004F4E33">
        <w:rPr>
          <w:i/>
          <w:iCs/>
          <w:noProof/>
          <w:color w:val="1F497D" w:themeColor="text2"/>
          <w:sz w:val="18"/>
          <w:szCs w:val="18"/>
        </w:rPr>
        <w:t>20</w:t>
      </w:r>
      <w:r w:rsidR="00290B2A" w:rsidRPr="00B4164B">
        <w:rPr>
          <w:i/>
          <w:iCs/>
          <w:color w:val="1F497D" w:themeColor="text2"/>
          <w:sz w:val="18"/>
          <w:szCs w:val="18"/>
        </w:rPr>
        <w:fldChar w:fldCharType="end"/>
      </w:r>
      <w:r w:rsidR="00290B2A" w:rsidRPr="00B4164B">
        <w:rPr>
          <w:i/>
          <w:iCs/>
          <w:color w:val="1F497D" w:themeColor="text2"/>
          <w:sz w:val="18"/>
          <w:szCs w:val="18"/>
        </w:rPr>
        <w:t> : Recours à la MO agricole avant GFS par PDE</w:t>
      </w:r>
      <w:bookmarkEnd w:id="60"/>
    </w:p>
    <w:p w14:paraId="17072E0B" w14:textId="77777777" w:rsidR="00CA349D" w:rsidRDefault="00CA349D" w:rsidP="00807B10"/>
    <w:p w14:paraId="45D3933B" w14:textId="6B0E6E88" w:rsidR="00CA349D" w:rsidRPr="00B91700" w:rsidRDefault="00CA349D" w:rsidP="00940964">
      <w:pPr>
        <w:tabs>
          <w:tab w:val="left" w:pos="4402"/>
        </w:tabs>
        <w:spacing w:line="276" w:lineRule="auto"/>
        <w:rPr>
          <w:rFonts w:ascii="Bookman Old Style" w:hAnsi="Bookman Old Style" w:cs="Arial"/>
          <w:b/>
          <w:bCs/>
          <w:i/>
          <w:iCs/>
        </w:rPr>
      </w:pPr>
      <w:r w:rsidRPr="00B91700">
        <w:rPr>
          <w:rFonts w:ascii="Bookman Old Style" w:hAnsi="Bookman Old Style" w:cs="Arial"/>
          <w:b/>
          <w:bCs/>
          <w:i/>
          <w:iCs/>
        </w:rPr>
        <w:t>Actif</w:t>
      </w:r>
      <w:r w:rsidR="008C6F27" w:rsidRPr="00B91700">
        <w:rPr>
          <w:rFonts w:ascii="Bookman Old Style" w:hAnsi="Bookman Old Style" w:cs="Arial"/>
          <w:b/>
          <w:bCs/>
          <w:i/>
          <w:iCs/>
        </w:rPr>
        <w:t>s</w:t>
      </w:r>
      <w:r w:rsidRPr="00B91700">
        <w:rPr>
          <w:rFonts w:ascii="Bookman Old Style" w:hAnsi="Bookman Old Style" w:cs="Arial"/>
          <w:b/>
          <w:bCs/>
          <w:i/>
          <w:iCs/>
        </w:rPr>
        <w:t xml:space="preserve"> agricole</w:t>
      </w:r>
      <w:r w:rsidR="008C6F27" w:rsidRPr="00B91700">
        <w:rPr>
          <w:rFonts w:ascii="Bookman Old Style" w:hAnsi="Bookman Old Style" w:cs="Arial"/>
          <w:b/>
          <w:bCs/>
          <w:i/>
          <w:iCs/>
        </w:rPr>
        <w:t>s</w:t>
      </w:r>
      <w:r w:rsidRPr="00B91700">
        <w:rPr>
          <w:rFonts w:ascii="Bookman Old Style" w:hAnsi="Bookman Old Style" w:cs="Arial"/>
          <w:b/>
          <w:bCs/>
          <w:i/>
          <w:iCs/>
        </w:rPr>
        <w:t xml:space="preserve"> mobilisé</w:t>
      </w:r>
      <w:r w:rsidR="008C6F27" w:rsidRPr="00B91700">
        <w:rPr>
          <w:rFonts w:ascii="Bookman Old Style" w:hAnsi="Bookman Old Style" w:cs="Arial"/>
          <w:b/>
          <w:bCs/>
          <w:i/>
          <w:iCs/>
        </w:rPr>
        <w:t>s</w:t>
      </w:r>
      <w:r w:rsidRPr="00B91700">
        <w:rPr>
          <w:rFonts w:ascii="Bookman Old Style" w:hAnsi="Bookman Old Style" w:cs="Arial"/>
          <w:b/>
          <w:bCs/>
          <w:i/>
          <w:iCs/>
        </w:rPr>
        <w:t xml:space="preserve"> pour la main d’œuvre agricole</w:t>
      </w:r>
    </w:p>
    <w:p w14:paraId="5D2C0F60" w14:textId="41A10671"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Globalement</w:t>
      </w:r>
      <w:r w:rsidR="00944E16">
        <w:rPr>
          <w:rFonts w:ascii="Bookman Old Style" w:hAnsi="Bookman Old Style"/>
        </w:rPr>
        <w:t xml:space="preserve">, </w:t>
      </w:r>
      <w:r w:rsidRPr="007B5322">
        <w:rPr>
          <w:rFonts w:ascii="Bookman Old Style" w:hAnsi="Bookman Old Style"/>
        </w:rPr>
        <w:t>on relève qu’un nombre important des actifs agricoles continuent d’être mobilisés dans la main d’œuvre agricole dans les villages enquêtés. Avant la mise en place des GFS, les ménages enquêtés mobilisaient jusqu’à 617 personnes de leurs membres dans la main d’œuvre agricole, ce qui est une grande perte pour ces ménages en termes de travail dans les exploitations agricoles familiales, même si par ailleurs ils procurent aux ménages de quoi survivre pour exploiter les champs.</w:t>
      </w:r>
    </w:p>
    <w:p w14:paraId="639657FD" w14:textId="1B4A2EAC"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 xml:space="preserve">Malgré que les ménages continuent à faire recours à la vente de main d’œuvre agricole, on note une forte avancée dans la réduction de cette pratique qui est synonyme de plus de consécration de temps de travail à l’exploitation agricole familiale. Sur </w:t>
      </w:r>
      <w:r w:rsidR="00234096" w:rsidRPr="007B5322">
        <w:rPr>
          <w:rFonts w:ascii="Bookman Old Style" w:hAnsi="Bookman Old Style"/>
        </w:rPr>
        <w:t>la figure</w:t>
      </w:r>
      <w:r w:rsidRPr="007B5322">
        <w:rPr>
          <w:rFonts w:ascii="Bookman Old Style" w:hAnsi="Bookman Old Style"/>
        </w:rPr>
        <w:t xml:space="preserve"> ci-après, on constate une réduction globale de l’ordre de 44%. La réduction est plus forte au niveau de Maradi avec 47% contre Zinder (40%). </w:t>
      </w:r>
    </w:p>
    <w:p w14:paraId="19BA723C" w14:textId="77777777"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 xml:space="preserve"> </w:t>
      </w:r>
    </w:p>
    <w:p w14:paraId="20BD1BCD" w14:textId="77777777" w:rsidR="00CA349D" w:rsidRDefault="00CA349D" w:rsidP="00B4164B">
      <w:pPr>
        <w:jc w:val="center"/>
      </w:pPr>
      <w:r>
        <w:rPr>
          <w:noProof/>
        </w:rPr>
        <w:lastRenderedPageBreak/>
        <w:drawing>
          <wp:inline distT="0" distB="0" distL="0" distR="0" wp14:anchorId="347071FA" wp14:editId="0C2444E7">
            <wp:extent cx="4716780" cy="2922270"/>
            <wp:effectExtent l="0" t="0" r="7620" b="11430"/>
            <wp:docPr id="44" name="Graphique 44">
              <a:extLst xmlns:a="http://schemas.openxmlformats.org/drawingml/2006/main">
                <a:ext uri="{FF2B5EF4-FFF2-40B4-BE49-F238E27FC236}">
                  <a16:creationId xmlns:a16="http://schemas.microsoft.com/office/drawing/2014/main" id="{770BFD13-D9B0-434A-A5E1-D1044607A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E03D33" w14:textId="17A2DEDE" w:rsidR="00CA349D" w:rsidRPr="00B4164B" w:rsidRDefault="00CA349D" w:rsidP="00807B10">
      <w:pPr>
        <w:rPr>
          <w:i/>
          <w:iCs/>
          <w:color w:val="1F497D" w:themeColor="text2"/>
          <w:sz w:val="18"/>
          <w:szCs w:val="18"/>
        </w:rPr>
      </w:pPr>
      <w:r w:rsidRPr="00B4164B">
        <w:rPr>
          <w:i/>
          <w:iCs/>
          <w:color w:val="1F497D" w:themeColor="text2"/>
          <w:sz w:val="18"/>
          <w:szCs w:val="18"/>
        </w:rPr>
        <w:t xml:space="preserve">              </w:t>
      </w:r>
      <w:r w:rsidR="00B4164B">
        <w:rPr>
          <w:i/>
          <w:iCs/>
          <w:color w:val="1F497D" w:themeColor="text2"/>
          <w:sz w:val="18"/>
          <w:szCs w:val="18"/>
        </w:rPr>
        <w:t xml:space="preserve">   </w:t>
      </w:r>
      <w:bookmarkStart w:id="61" w:name="_Toc97823234"/>
      <w:r w:rsidR="00290B2A" w:rsidRPr="00B4164B">
        <w:rPr>
          <w:i/>
          <w:iCs/>
          <w:color w:val="1F497D" w:themeColor="text2"/>
          <w:sz w:val="18"/>
          <w:szCs w:val="18"/>
        </w:rPr>
        <w:t xml:space="preserve">Figure </w:t>
      </w:r>
      <w:r w:rsidR="00290B2A" w:rsidRPr="00B4164B">
        <w:rPr>
          <w:i/>
          <w:iCs/>
          <w:color w:val="1F497D" w:themeColor="text2"/>
          <w:sz w:val="18"/>
          <w:szCs w:val="18"/>
        </w:rPr>
        <w:fldChar w:fldCharType="begin"/>
      </w:r>
      <w:r w:rsidR="00290B2A" w:rsidRPr="00B4164B">
        <w:rPr>
          <w:i/>
          <w:iCs/>
          <w:color w:val="1F497D" w:themeColor="text2"/>
          <w:sz w:val="18"/>
          <w:szCs w:val="18"/>
        </w:rPr>
        <w:instrText xml:space="preserve"> SEQ Figure \* ARABIC </w:instrText>
      </w:r>
      <w:r w:rsidR="00290B2A" w:rsidRPr="00B4164B">
        <w:rPr>
          <w:i/>
          <w:iCs/>
          <w:color w:val="1F497D" w:themeColor="text2"/>
          <w:sz w:val="18"/>
          <w:szCs w:val="18"/>
        </w:rPr>
        <w:fldChar w:fldCharType="separate"/>
      </w:r>
      <w:r w:rsidR="004F4E33">
        <w:rPr>
          <w:i/>
          <w:iCs/>
          <w:noProof/>
          <w:color w:val="1F497D" w:themeColor="text2"/>
          <w:sz w:val="18"/>
          <w:szCs w:val="18"/>
        </w:rPr>
        <w:t>21</w:t>
      </w:r>
      <w:r w:rsidR="00290B2A" w:rsidRPr="00B4164B">
        <w:rPr>
          <w:i/>
          <w:iCs/>
          <w:color w:val="1F497D" w:themeColor="text2"/>
          <w:sz w:val="18"/>
          <w:szCs w:val="18"/>
        </w:rPr>
        <w:fldChar w:fldCharType="end"/>
      </w:r>
      <w:r w:rsidR="00290B2A" w:rsidRPr="00B4164B">
        <w:rPr>
          <w:i/>
          <w:iCs/>
          <w:color w:val="1F497D" w:themeColor="text2"/>
          <w:sz w:val="18"/>
          <w:szCs w:val="18"/>
        </w:rPr>
        <w:t xml:space="preserve"> : </w:t>
      </w:r>
      <w:r w:rsidR="009011DD" w:rsidRPr="00B4164B">
        <w:rPr>
          <w:i/>
          <w:iCs/>
          <w:color w:val="1F497D" w:themeColor="text2"/>
          <w:sz w:val="18"/>
          <w:szCs w:val="18"/>
        </w:rPr>
        <w:t>Nombre actifs agricoles mobilisés pour la MO agricole avant et après GFS par Région</w:t>
      </w:r>
      <w:bookmarkEnd w:id="61"/>
    </w:p>
    <w:p w14:paraId="10F5A564" w14:textId="3AD42C48"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 xml:space="preserve">De façon détaillée, on constate </w:t>
      </w:r>
      <w:r w:rsidR="00B63D09" w:rsidRPr="007B5322">
        <w:rPr>
          <w:rFonts w:ascii="Bookman Old Style" w:hAnsi="Bookman Old Style"/>
        </w:rPr>
        <w:t xml:space="preserve">selon le tableau ci-dessous </w:t>
      </w:r>
      <w:r w:rsidRPr="007B5322">
        <w:rPr>
          <w:rFonts w:ascii="Bookman Old Style" w:hAnsi="Bookman Old Style"/>
        </w:rPr>
        <w:t xml:space="preserve">que c’est dans les PDE de Karofane avec 34%, suivi de Bandé (36%), Doungou (37%) Tessaoua (39%) que la réduction de recours à la main d’œuvre agricole est plus ou moins faible (moins de 40%). </w:t>
      </w:r>
    </w:p>
    <w:p w14:paraId="3AD6A06E" w14:textId="77777777"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 xml:space="preserve">Le taux de réduction les plus élevés a été enregistré dans le PDE de </w:t>
      </w:r>
      <w:proofErr w:type="spellStart"/>
      <w:r w:rsidRPr="007B5322">
        <w:rPr>
          <w:rFonts w:ascii="Bookman Old Style" w:hAnsi="Bookman Old Style"/>
        </w:rPr>
        <w:t>Guidan</w:t>
      </w:r>
      <w:proofErr w:type="spellEnd"/>
      <w:r w:rsidRPr="007B5322">
        <w:rPr>
          <w:rFonts w:ascii="Bookman Old Style" w:hAnsi="Bookman Old Style"/>
        </w:rPr>
        <w:t xml:space="preserve"> </w:t>
      </w:r>
      <w:proofErr w:type="spellStart"/>
      <w:r w:rsidRPr="007B5322">
        <w:rPr>
          <w:rFonts w:ascii="Bookman Old Style" w:hAnsi="Bookman Old Style"/>
        </w:rPr>
        <w:t>Roumdji</w:t>
      </w:r>
      <w:proofErr w:type="spellEnd"/>
      <w:r w:rsidRPr="007B5322">
        <w:rPr>
          <w:rFonts w:ascii="Bookman Old Style" w:hAnsi="Bookman Old Style"/>
        </w:rPr>
        <w:t xml:space="preserve"> (56%) et Guidimouni (54%).</w:t>
      </w:r>
    </w:p>
    <w:p w14:paraId="56D57127" w14:textId="5055FB84" w:rsidR="00CA349D" w:rsidRDefault="00CA349D" w:rsidP="00807B10"/>
    <w:p w14:paraId="0C54767E" w14:textId="53715DCD" w:rsidR="00B63D09" w:rsidRDefault="00B4164B" w:rsidP="00B4164B">
      <w:pPr>
        <w:pStyle w:val="Lgende"/>
        <w:spacing w:after="0"/>
        <w:rPr>
          <w:rFonts w:ascii="Bookman Old Style" w:hAnsi="Bookman Old Style" w:cs="Arial"/>
        </w:rPr>
      </w:pPr>
      <w:r>
        <w:t xml:space="preserve">     </w:t>
      </w:r>
      <w:bookmarkStart w:id="62" w:name="_Toc97822387"/>
      <w:r w:rsidR="00B63D09">
        <w:t xml:space="preserve">Tableau </w:t>
      </w:r>
      <w:fldSimple w:instr=" SEQ Tableau \* ARABIC ">
        <w:r w:rsidR="00275B4D">
          <w:rPr>
            <w:noProof/>
          </w:rPr>
          <w:t>8</w:t>
        </w:r>
      </w:fldSimple>
      <w:r w:rsidR="00B63D09">
        <w:t> : Situation actif agricole mobilisé pour la MO agricole avant et après GFS</w:t>
      </w:r>
      <w:bookmarkEnd w:id="62"/>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1979"/>
        <w:gridCol w:w="1985"/>
        <w:gridCol w:w="1118"/>
        <w:gridCol w:w="1438"/>
      </w:tblGrid>
      <w:tr w:rsidR="00B63D09" w:rsidRPr="008C6F27" w14:paraId="59811504" w14:textId="77777777" w:rsidTr="00D12D6D">
        <w:trPr>
          <w:trHeight w:val="540"/>
          <w:tblHeader/>
          <w:jc w:val="center"/>
        </w:trPr>
        <w:tc>
          <w:tcPr>
            <w:tcW w:w="1980" w:type="dxa"/>
            <w:shd w:val="clear" w:color="000000" w:fill="D9E7FD"/>
            <w:noWrap/>
            <w:vAlign w:val="center"/>
            <w:hideMark/>
          </w:tcPr>
          <w:p w14:paraId="1F5285C2"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Étiquettes de lignes</w:t>
            </w:r>
          </w:p>
        </w:tc>
        <w:tc>
          <w:tcPr>
            <w:tcW w:w="1979" w:type="dxa"/>
            <w:shd w:val="clear" w:color="000000" w:fill="D9E7FD"/>
            <w:vAlign w:val="center"/>
            <w:hideMark/>
          </w:tcPr>
          <w:p w14:paraId="3BE22FFB"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 xml:space="preserve">Nbre actif agricole mobilisé pour la main d'œuvre agricole </w:t>
            </w:r>
            <w:r w:rsidRPr="008C6F27">
              <w:rPr>
                <w:rFonts w:ascii="Arial" w:hAnsi="Arial" w:cs="Arial"/>
                <w:b/>
                <w:bCs/>
                <w:color w:val="FF0000"/>
                <w:sz w:val="20"/>
                <w:szCs w:val="20"/>
              </w:rPr>
              <w:t>avant GFS</w:t>
            </w:r>
          </w:p>
        </w:tc>
        <w:tc>
          <w:tcPr>
            <w:tcW w:w="1985" w:type="dxa"/>
            <w:shd w:val="clear" w:color="000000" w:fill="D9E7FD"/>
            <w:vAlign w:val="center"/>
            <w:hideMark/>
          </w:tcPr>
          <w:p w14:paraId="6F57751D"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 xml:space="preserve">Nbre actif agricole mobilisé pour la main d'œuvre agricole </w:t>
            </w:r>
            <w:r w:rsidRPr="008C6F27">
              <w:rPr>
                <w:rFonts w:ascii="Arial" w:hAnsi="Arial" w:cs="Arial"/>
                <w:b/>
                <w:bCs/>
                <w:color w:val="FF0000"/>
                <w:sz w:val="20"/>
                <w:szCs w:val="20"/>
              </w:rPr>
              <w:t>après GFS</w:t>
            </w:r>
          </w:p>
        </w:tc>
        <w:tc>
          <w:tcPr>
            <w:tcW w:w="1118" w:type="dxa"/>
            <w:shd w:val="clear" w:color="000000" w:fill="D9E7FD"/>
            <w:vAlign w:val="center"/>
            <w:hideMark/>
          </w:tcPr>
          <w:p w14:paraId="0934DDF0"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Réduction</w:t>
            </w:r>
          </w:p>
        </w:tc>
        <w:tc>
          <w:tcPr>
            <w:tcW w:w="1438" w:type="dxa"/>
            <w:shd w:val="clear" w:color="000000" w:fill="D9E7FD"/>
            <w:vAlign w:val="center"/>
            <w:hideMark/>
          </w:tcPr>
          <w:p w14:paraId="4C32F22A"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Proportion %</w:t>
            </w:r>
          </w:p>
        </w:tc>
      </w:tr>
      <w:tr w:rsidR="00B63D09" w:rsidRPr="008C6F27" w14:paraId="05161DF8" w14:textId="77777777" w:rsidTr="00D12D6D">
        <w:trPr>
          <w:trHeight w:val="300"/>
          <w:jc w:val="center"/>
        </w:trPr>
        <w:tc>
          <w:tcPr>
            <w:tcW w:w="1980" w:type="dxa"/>
            <w:shd w:val="clear" w:color="auto" w:fill="FBD4B4" w:themeFill="accent6" w:themeFillTint="66"/>
            <w:noWrap/>
            <w:vAlign w:val="center"/>
            <w:hideMark/>
          </w:tcPr>
          <w:p w14:paraId="48101989"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Maradi</w:t>
            </w:r>
          </w:p>
        </w:tc>
        <w:tc>
          <w:tcPr>
            <w:tcW w:w="1979" w:type="dxa"/>
            <w:shd w:val="clear" w:color="auto" w:fill="FBD4B4" w:themeFill="accent6" w:themeFillTint="66"/>
            <w:noWrap/>
            <w:vAlign w:val="center"/>
            <w:hideMark/>
          </w:tcPr>
          <w:p w14:paraId="2CB089DE"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257</w:t>
            </w:r>
          </w:p>
        </w:tc>
        <w:tc>
          <w:tcPr>
            <w:tcW w:w="1985" w:type="dxa"/>
            <w:shd w:val="clear" w:color="auto" w:fill="FBD4B4" w:themeFill="accent6" w:themeFillTint="66"/>
            <w:noWrap/>
            <w:vAlign w:val="center"/>
            <w:hideMark/>
          </w:tcPr>
          <w:p w14:paraId="0BA5CF1C"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136</w:t>
            </w:r>
          </w:p>
        </w:tc>
        <w:tc>
          <w:tcPr>
            <w:tcW w:w="1118" w:type="dxa"/>
            <w:shd w:val="clear" w:color="auto" w:fill="FBD4B4" w:themeFill="accent6" w:themeFillTint="66"/>
            <w:noWrap/>
            <w:vAlign w:val="center"/>
            <w:hideMark/>
          </w:tcPr>
          <w:p w14:paraId="73072741"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121</w:t>
            </w:r>
          </w:p>
        </w:tc>
        <w:tc>
          <w:tcPr>
            <w:tcW w:w="1438" w:type="dxa"/>
            <w:shd w:val="clear" w:color="auto" w:fill="FBD4B4" w:themeFill="accent6" w:themeFillTint="66"/>
            <w:noWrap/>
            <w:vAlign w:val="center"/>
            <w:hideMark/>
          </w:tcPr>
          <w:p w14:paraId="7479F0C1"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47%</w:t>
            </w:r>
          </w:p>
        </w:tc>
      </w:tr>
      <w:tr w:rsidR="00B63D09" w:rsidRPr="008C6F27" w14:paraId="40416276" w14:textId="77777777" w:rsidTr="00D12D6D">
        <w:trPr>
          <w:trHeight w:val="300"/>
          <w:jc w:val="center"/>
        </w:trPr>
        <w:tc>
          <w:tcPr>
            <w:tcW w:w="1980" w:type="dxa"/>
            <w:shd w:val="clear" w:color="auto" w:fill="auto"/>
            <w:noWrap/>
            <w:vAlign w:val="center"/>
            <w:hideMark/>
          </w:tcPr>
          <w:p w14:paraId="3C885E54" w14:textId="77777777" w:rsidR="00B63D09" w:rsidRPr="008C6F27" w:rsidRDefault="00B63D09" w:rsidP="00D12D6D">
            <w:pPr>
              <w:ind w:firstLineChars="100" w:firstLine="200"/>
              <w:rPr>
                <w:rFonts w:ascii="Arial" w:hAnsi="Arial" w:cs="Arial"/>
                <w:color w:val="000000"/>
                <w:sz w:val="20"/>
                <w:szCs w:val="20"/>
              </w:rPr>
            </w:pPr>
            <w:proofErr w:type="spellStart"/>
            <w:r w:rsidRPr="008C6F27">
              <w:rPr>
                <w:rFonts w:ascii="Arial" w:hAnsi="Arial" w:cs="Arial"/>
                <w:color w:val="000000"/>
                <w:sz w:val="20"/>
                <w:szCs w:val="20"/>
              </w:rPr>
              <w:t>Guidan_Roumdji</w:t>
            </w:r>
            <w:proofErr w:type="spellEnd"/>
          </w:p>
        </w:tc>
        <w:tc>
          <w:tcPr>
            <w:tcW w:w="1979" w:type="dxa"/>
            <w:shd w:val="clear" w:color="auto" w:fill="auto"/>
            <w:noWrap/>
            <w:vAlign w:val="center"/>
            <w:hideMark/>
          </w:tcPr>
          <w:p w14:paraId="56978EF0"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120</w:t>
            </w:r>
          </w:p>
        </w:tc>
        <w:tc>
          <w:tcPr>
            <w:tcW w:w="1985" w:type="dxa"/>
            <w:shd w:val="clear" w:color="auto" w:fill="auto"/>
            <w:noWrap/>
            <w:vAlign w:val="center"/>
            <w:hideMark/>
          </w:tcPr>
          <w:p w14:paraId="0F535F89"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53</w:t>
            </w:r>
          </w:p>
        </w:tc>
        <w:tc>
          <w:tcPr>
            <w:tcW w:w="1118" w:type="dxa"/>
            <w:shd w:val="clear" w:color="auto" w:fill="auto"/>
            <w:noWrap/>
            <w:vAlign w:val="center"/>
            <w:hideMark/>
          </w:tcPr>
          <w:p w14:paraId="0C84D627"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67</w:t>
            </w:r>
          </w:p>
        </w:tc>
        <w:tc>
          <w:tcPr>
            <w:tcW w:w="1438" w:type="dxa"/>
            <w:shd w:val="clear" w:color="auto" w:fill="auto"/>
            <w:noWrap/>
            <w:vAlign w:val="center"/>
            <w:hideMark/>
          </w:tcPr>
          <w:p w14:paraId="5F183F4D"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56%</w:t>
            </w:r>
          </w:p>
        </w:tc>
      </w:tr>
      <w:tr w:rsidR="00B63D09" w:rsidRPr="008C6F27" w14:paraId="6EB4EB8D" w14:textId="77777777" w:rsidTr="00D12D6D">
        <w:trPr>
          <w:trHeight w:val="300"/>
          <w:jc w:val="center"/>
        </w:trPr>
        <w:tc>
          <w:tcPr>
            <w:tcW w:w="1980" w:type="dxa"/>
            <w:shd w:val="clear" w:color="auto" w:fill="auto"/>
            <w:noWrap/>
            <w:vAlign w:val="center"/>
            <w:hideMark/>
          </w:tcPr>
          <w:p w14:paraId="276B1B84" w14:textId="77777777" w:rsidR="00B63D09" w:rsidRPr="008C6F27" w:rsidRDefault="00B63D09" w:rsidP="00D12D6D">
            <w:pPr>
              <w:ind w:firstLineChars="100" w:firstLine="200"/>
              <w:rPr>
                <w:rFonts w:ascii="Arial" w:hAnsi="Arial" w:cs="Arial"/>
                <w:color w:val="000000"/>
                <w:sz w:val="20"/>
                <w:szCs w:val="20"/>
              </w:rPr>
            </w:pPr>
            <w:r w:rsidRPr="008C6F27">
              <w:rPr>
                <w:rFonts w:ascii="Arial" w:hAnsi="Arial" w:cs="Arial"/>
                <w:color w:val="000000"/>
                <w:sz w:val="20"/>
                <w:szCs w:val="20"/>
              </w:rPr>
              <w:t>Tessaoua</w:t>
            </w:r>
          </w:p>
        </w:tc>
        <w:tc>
          <w:tcPr>
            <w:tcW w:w="1979" w:type="dxa"/>
            <w:shd w:val="clear" w:color="auto" w:fill="auto"/>
            <w:noWrap/>
            <w:vAlign w:val="center"/>
            <w:hideMark/>
          </w:tcPr>
          <w:p w14:paraId="530B57D7"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137</w:t>
            </w:r>
          </w:p>
        </w:tc>
        <w:tc>
          <w:tcPr>
            <w:tcW w:w="1985" w:type="dxa"/>
            <w:shd w:val="clear" w:color="auto" w:fill="auto"/>
            <w:noWrap/>
            <w:vAlign w:val="center"/>
            <w:hideMark/>
          </w:tcPr>
          <w:p w14:paraId="7535B87B"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83</w:t>
            </w:r>
          </w:p>
        </w:tc>
        <w:tc>
          <w:tcPr>
            <w:tcW w:w="1118" w:type="dxa"/>
            <w:shd w:val="clear" w:color="auto" w:fill="auto"/>
            <w:noWrap/>
            <w:vAlign w:val="center"/>
            <w:hideMark/>
          </w:tcPr>
          <w:p w14:paraId="28F33DAC"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54</w:t>
            </w:r>
          </w:p>
        </w:tc>
        <w:tc>
          <w:tcPr>
            <w:tcW w:w="1438" w:type="dxa"/>
            <w:shd w:val="clear" w:color="auto" w:fill="auto"/>
            <w:noWrap/>
            <w:vAlign w:val="center"/>
            <w:hideMark/>
          </w:tcPr>
          <w:p w14:paraId="1691B40C"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39%</w:t>
            </w:r>
          </w:p>
        </w:tc>
      </w:tr>
      <w:tr w:rsidR="00B63D09" w:rsidRPr="008C6F27" w14:paraId="66C62F4A" w14:textId="77777777" w:rsidTr="00D12D6D">
        <w:trPr>
          <w:trHeight w:val="300"/>
          <w:jc w:val="center"/>
        </w:trPr>
        <w:tc>
          <w:tcPr>
            <w:tcW w:w="1980" w:type="dxa"/>
            <w:shd w:val="clear" w:color="auto" w:fill="FBD4B4" w:themeFill="accent6" w:themeFillTint="66"/>
            <w:noWrap/>
            <w:vAlign w:val="center"/>
            <w:hideMark/>
          </w:tcPr>
          <w:p w14:paraId="2DBD6D18"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Tahoua</w:t>
            </w:r>
          </w:p>
        </w:tc>
        <w:tc>
          <w:tcPr>
            <w:tcW w:w="1979" w:type="dxa"/>
            <w:shd w:val="clear" w:color="auto" w:fill="FBD4B4" w:themeFill="accent6" w:themeFillTint="66"/>
            <w:noWrap/>
            <w:vAlign w:val="center"/>
            <w:hideMark/>
          </w:tcPr>
          <w:p w14:paraId="570F08B6"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157</w:t>
            </w:r>
          </w:p>
        </w:tc>
        <w:tc>
          <w:tcPr>
            <w:tcW w:w="1985" w:type="dxa"/>
            <w:shd w:val="clear" w:color="auto" w:fill="FBD4B4" w:themeFill="accent6" w:themeFillTint="66"/>
            <w:noWrap/>
            <w:vAlign w:val="center"/>
            <w:hideMark/>
          </w:tcPr>
          <w:p w14:paraId="76CE0388"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90</w:t>
            </w:r>
          </w:p>
        </w:tc>
        <w:tc>
          <w:tcPr>
            <w:tcW w:w="1118" w:type="dxa"/>
            <w:shd w:val="clear" w:color="auto" w:fill="FBD4B4" w:themeFill="accent6" w:themeFillTint="66"/>
            <w:noWrap/>
            <w:vAlign w:val="center"/>
            <w:hideMark/>
          </w:tcPr>
          <w:p w14:paraId="586A7B4E"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67</w:t>
            </w:r>
          </w:p>
        </w:tc>
        <w:tc>
          <w:tcPr>
            <w:tcW w:w="1438" w:type="dxa"/>
            <w:shd w:val="clear" w:color="auto" w:fill="FBD4B4" w:themeFill="accent6" w:themeFillTint="66"/>
            <w:noWrap/>
            <w:vAlign w:val="center"/>
            <w:hideMark/>
          </w:tcPr>
          <w:p w14:paraId="080945C4"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43%</w:t>
            </w:r>
          </w:p>
        </w:tc>
      </w:tr>
      <w:tr w:rsidR="00B63D09" w:rsidRPr="008C6F27" w14:paraId="69203C2D" w14:textId="77777777" w:rsidTr="00D12D6D">
        <w:trPr>
          <w:trHeight w:val="300"/>
          <w:jc w:val="center"/>
        </w:trPr>
        <w:tc>
          <w:tcPr>
            <w:tcW w:w="1980" w:type="dxa"/>
            <w:shd w:val="clear" w:color="auto" w:fill="auto"/>
            <w:noWrap/>
            <w:vAlign w:val="center"/>
            <w:hideMark/>
          </w:tcPr>
          <w:p w14:paraId="5C1127D6" w14:textId="77777777" w:rsidR="00B63D09" w:rsidRPr="008C6F27" w:rsidRDefault="00B63D09" w:rsidP="00D12D6D">
            <w:pPr>
              <w:ind w:firstLineChars="100" w:firstLine="200"/>
              <w:rPr>
                <w:rFonts w:ascii="Arial" w:hAnsi="Arial" w:cs="Arial"/>
                <w:color w:val="000000"/>
                <w:sz w:val="20"/>
                <w:szCs w:val="20"/>
              </w:rPr>
            </w:pPr>
            <w:proofErr w:type="spellStart"/>
            <w:r w:rsidRPr="008C6F27">
              <w:rPr>
                <w:rFonts w:ascii="Arial" w:hAnsi="Arial" w:cs="Arial"/>
                <w:color w:val="000000"/>
                <w:sz w:val="20"/>
                <w:szCs w:val="20"/>
              </w:rPr>
              <w:t>Badaguichiri</w:t>
            </w:r>
            <w:proofErr w:type="spellEnd"/>
          </w:p>
        </w:tc>
        <w:tc>
          <w:tcPr>
            <w:tcW w:w="1979" w:type="dxa"/>
            <w:shd w:val="clear" w:color="auto" w:fill="auto"/>
            <w:noWrap/>
            <w:vAlign w:val="center"/>
            <w:hideMark/>
          </w:tcPr>
          <w:p w14:paraId="1932238C"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55</w:t>
            </w:r>
          </w:p>
        </w:tc>
        <w:tc>
          <w:tcPr>
            <w:tcW w:w="1985" w:type="dxa"/>
            <w:shd w:val="clear" w:color="auto" w:fill="auto"/>
            <w:noWrap/>
            <w:vAlign w:val="center"/>
            <w:hideMark/>
          </w:tcPr>
          <w:p w14:paraId="338A6D6E"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30</w:t>
            </w:r>
          </w:p>
        </w:tc>
        <w:tc>
          <w:tcPr>
            <w:tcW w:w="1118" w:type="dxa"/>
            <w:shd w:val="clear" w:color="auto" w:fill="auto"/>
            <w:noWrap/>
            <w:vAlign w:val="center"/>
            <w:hideMark/>
          </w:tcPr>
          <w:p w14:paraId="6094D7F2"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25</w:t>
            </w:r>
          </w:p>
        </w:tc>
        <w:tc>
          <w:tcPr>
            <w:tcW w:w="1438" w:type="dxa"/>
            <w:shd w:val="clear" w:color="auto" w:fill="auto"/>
            <w:noWrap/>
            <w:vAlign w:val="center"/>
            <w:hideMark/>
          </w:tcPr>
          <w:p w14:paraId="492D4797"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45%</w:t>
            </w:r>
          </w:p>
        </w:tc>
      </w:tr>
      <w:tr w:rsidR="00B63D09" w:rsidRPr="008C6F27" w14:paraId="150F8CE8" w14:textId="77777777" w:rsidTr="00D12D6D">
        <w:trPr>
          <w:trHeight w:val="300"/>
          <w:jc w:val="center"/>
        </w:trPr>
        <w:tc>
          <w:tcPr>
            <w:tcW w:w="1980" w:type="dxa"/>
            <w:shd w:val="clear" w:color="auto" w:fill="auto"/>
            <w:noWrap/>
            <w:vAlign w:val="center"/>
            <w:hideMark/>
          </w:tcPr>
          <w:p w14:paraId="14B17FC3" w14:textId="77777777" w:rsidR="00B63D09" w:rsidRPr="008C6F27" w:rsidRDefault="00B63D09" w:rsidP="00D12D6D">
            <w:pPr>
              <w:ind w:firstLineChars="100" w:firstLine="200"/>
              <w:rPr>
                <w:rFonts w:ascii="Arial" w:hAnsi="Arial" w:cs="Arial"/>
                <w:color w:val="000000"/>
                <w:sz w:val="20"/>
                <w:szCs w:val="20"/>
              </w:rPr>
            </w:pPr>
            <w:r w:rsidRPr="008C6F27">
              <w:rPr>
                <w:rFonts w:ascii="Arial" w:hAnsi="Arial" w:cs="Arial"/>
                <w:color w:val="000000"/>
                <w:sz w:val="20"/>
                <w:szCs w:val="20"/>
              </w:rPr>
              <w:t>Karofane</w:t>
            </w:r>
          </w:p>
        </w:tc>
        <w:tc>
          <w:tcPr>
            <w:tcW w:w="1979" w:type="dxa"/>
            <w:shd w:val="clear" w:color="auto" w:fill="auto"/>
            <w:noWrap/>
            <w:vAlign w:val="center"/>
            <w:hideMark/>
          </w:tcPr>
          <w:p w14:paraId="787F2784"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53</w:t>
            </w:r>
          </w:p>
        </w:tc>
        <w:tc>
          <w:tcPr>
            <w:tcW w:w="1985" w:type="dxa"/>
            <w:shd w:val="clear" w:color="auto" w:fill="auto"/>
            <w:noWrap/>
            <w:vAlign w:val="center"/>
            <w:hideMark/>
          </w:tcPr>
          <w:p w14:paraId="411BDE53"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35</w:t>
            </w:r>
          </w:p>
        </w:tc>
        <w:tc>
          <w:tcPr>
            <w:tcW w:w="1118" w:type="dxa"/>
            <w:shd w:val="clear" w:color="auto" w:fill="auto"/>
            <w:noWrap/>
            <w:vAlign w:val="center"/>
            <w:hideMark/>
          </w:tcPr>
          <w:p w14:paraId="652CFB3B"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18</w:t>
            </w:r>
          </w:p>
        </w:tc>
        <w:tc>
          <w:tcPr>
            <w:tcW w:w="1438" w:type="dxa"/>
            <w:shd w:val="clear" w:color="auto" w:fill="auto"/>
            <w:noWrap/>
            <w:vAlign w:val="center"/>
            <w:hideMark/>
          </w:tcPr>
          <w:p w14:paraId="09AEE18D"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34%</w:t>
            </w:r>
          </w:p>
        </w:tc>
      </w:tr>
      <w:tr w:rsidR="00B63D09" w:rsidRPr="008C6F27" w14:paraId="7188A8D7" w14:textId="77777777" w:rsidTr="00D12D6D">
        <w:trPr>
          <w:trHeight w:val="300"/>
          <w:jc w:val="center"/>
        </w:trPr>
        <w:tc>
          <w:tcPr>
            <w:tcW w:w="1980" w:type="dxa"/>
            <w:shd w:val="clear" w:color="auto" w:fill="auto"/>
            <w:noWrap/>
            <w:vAlign w:val="center"/>
            <w:hideMark/>
          </w:tcPr>
          <w:p w14:paraId="109D59FB" w14:textId="77777777" w:rsidR="00B63D09" w:rsidRPr="008C6F27" w:rsidRDefault="00B63D09" w:rsidP="00D12D6D">
            <w:pPr>
              <w:ind w:firstLineChars="100" w:firstLine="200"/>
              <w:rPr>
                <w:rFonts w:ascii="Arial" w:hAnsi="Arial" w:cs="Arial"/>
                <w:color w:val="000000"/>
                <w:sz w:val="20"/>
                <w:szCs w:val="20"/>
              </w:rPr>
            </w:pPr>
            <w:r w:rsidRPr="008C6F27">
              <w:rPr>
                <w:rFonts w:ascii="Arial" w:hAnsi="Arial" w:cs="Arial"/>
                <w:color w:val="000000"/>
                <w:sz w:val="20"/>
                <w:szCs w:val="20"/>
              </w:rPr>
              <w:t>Tounfafi</w:t>
            </w:r>
          </w:p>
        </w:tc>
        <w:tc>
          <w:tcPr>
            <w:tcW w:w="1979" w:type="dxa"/>
            <w:shd w:val="clear" w:color="auto" w:fill="auto"/>
            <w:noWrap/>
            <w:vAlign w:val="center"/>
            <w:hideMark/>
          </w:tcPr>
          <w:p w14:paraId="7F91A069"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49</w:t>
            </w:r>
          </w:p>
        </w:tc>
        <w:tc>
          <w:tcPr>
            <w:tcW w:w="1985" w:type="dxa"/>
            <w:shd w:val="clear" w:color="auto" w:fill="auto"/>
            <w:noWrap/>
            <w:vAlign w:val="center"/>
            <w:hideMark/>
          </w:tcPr>
          <w:p w14:paraId="10C3DF1F"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25</w:t>
            </w:r>
          </w:p>
        </w:tc>
        <w:tc>
          <w:tcPr>
            <w:tcW w:w="1118" w:type="dxa"/>
            <w:shd w:val="clear" w:color="auto" w:fill="auto"/>
            <w:noWrap/>
            <w:vAlign w:val="center"/>
            <w:hideMark/>
          </w:tcPr>
          <w:p w14:paraId="45536F38"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24</w:t>
            </w:r>
          </w:p>
        </w:tc>
        <w:tc>
          <w:tcPr>
            <w:tcW w:w="1438" w:type="dxa"/>
            <w:shd w:val="clear" w:color="auto" w:fill="auto"/>
            <w:noWrap/>
            <w:vAlign w:val="center"/>
            <w:hideMark/>
          </w:tcPr>
          <w:p w14:paraId="2CDE91B5"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49%</w:t>
            </w:r>
          </w:p>
        </w:tc>
      </w:tr>
      <w:tr w:rsidR="00B63D09" w:rsidRPr="008C6F27" w14:paraId="62ED51B9" w14:textId="77777777" w:rsidTr="00D12D6D">
        <w:trPr>
          <w:trHeight w:val="300"/>
          <w:jc w:val="center"/>
        </w:trPr>
        <w:tc>
          <w:tcPr>
            <w:tcW w:w="1980" w:type="dxa"/>
            <w:shd w:val="clear" w:color="auto" w:fill="FBD4B4" w:themeFill="accent6" w:themeFillTint="66"/>
            <w:noWrap/>
            <w:vAlign w:val="center"/>
            <w:hideMark/>
          </w:tcPr>
          <w:p w14:paraId="22C22303"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Zinder</w:t>
            </w:r>
          </w:p>
        </w:tc>
        <w:tc>
          <w:tcPr>
            <w:tcW w:w="1979" w:type="dxa"/>
            <w:shd w:val="clear" w:color="auto" w:fill="FBD4B4" w:themeFill="accent6" w:themeFillTint="66"/>
            <w:noWrap/>
            <w:vAlign w:val="center"/>
            <w:hideMark/>
          </w:tcPr>
          <w:p w14:paraId="0CC5FAF1"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203</w:t>
            </w:r>
          </w:p>
        </w:tc>
        <w:tc>
          <w:tcPr>
            <w:tcW w:w="1985" w:type="dxa"/>
            <w:shd w:val="clear" w:color="auto" w:fill="FBD4B4" w:themeFill="accent6" w:themeFillTint="66"/>
            <w:noWrap/>
            <w:vAlign w:val="center"/>
            <w:hideMark/>
          </w:tcPr>
          <w:p w14:paraId="2238A2A7"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122</w:t>
            </w:r>
          </w:p>
        </w:tc>
        <w:tc>
          <w:tcPr>
            <w:tcW w:w="1118" w:type="dxa"/>
            <w:shd w:val="clear" w:color="auto" w:fill="FBD4B4" w:themeFill="accent6" w:themeFillTint="66"/>
            <w:noWrap/>
            <w:vAlign w:val="center"/>
            <w:hideMark/>
          </w:tcPr>
          <w:p w14:paraId="71C4B5DC"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81</w:t>
            </w:r>
          </w:p>
        </w:tc>
        <w:tc>
          <w:tcPr>
            <w:tcW w:w="1438" w:type="dxa"/>
            <w:shd w:val="clear" w:color="auto" w:fill="FBD4B4" w:themeFill="accent6" w:themeFillTint="66"/>
            <w:noWrap/>
            <w:vAlign w:val="center"/>
            <w:hideMark/>
          </w:tcPr>
          <w:p w14:paraId="2281A6EB"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40%</w:t>
            </w:r>
          </w:p>
        </w:tc>
      </w:tr>
      <w:tr w:rsidR="00B63D09" w:rsidRPr="008C6F27" w14:paraId="26D418B8" w14:textId="77777777" w:rsidTr="00D12D6D">
        <w:trPr>
          <w:trHeight w:val="300"/>
          <w:jc w:val="center"/>
        </w:trPr>
        <w:tc>
          <w:tcPr>
            <w:tcW w:w="1980" w:type="dxa"/>
            <w:shd w:val="clear" w:color="auto" w:fill="auto"/>
            <w:noWrap/>
            <w:vAlign w:val="center"/>
            <w:hideMark/>
          </w:tcPr>
          <w:p w14:paraId="45650391" w14:textId="77777777" w:rsidR="00B63D09" w:rsidRPr="008C6F27" w:rsidRDefault="00B63D09" w:rsidP="00D12D6D">
            <w:pPr>
              <w:ind w:firstLineChars="100" w:firstLine="200"/>
              <w:rPr>
                <w:rFonts w:ascii="Arial" w:hAnsi="Arial" w:cs="Arial"/>
                <w:color w:val="000000"/>
                <w:sz w:val="20"/>
                <w:szCs w:val="20"/>
              </w:rPr>
            </w:pPr>
            <w:r w:rsidRPr="008C6F27">
              <w:rPr>
                <w:rFonts w:ascii="Arial" w:hAnsi="Arial" w:cs="Arial"/>
                <w:color w:val="000000"/>
                <w:sz w:val="20"/>
                <w:szCs w:val="20"/>
              </w:rPr>
              <w:t>Bande</w:t>
            </w:r>
          </w:p>
        </w:tc>
        <w:tc>
          <w:tcPr>
            <w:tcW w:w="1979" w:type="dxa"/>
            <w:shd w:val="clear" w:color="auto" w:fill="auto"/>
            <w:noWrap/>
            <w:vAlign w:val="center"/>
            <w:hideMark/>
          </w:tcPr>
          <w:p w14:paraId="4F46B7F4"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42</w:t>
            </w:r>
          </w:p>
        </w:tc>
        <w:tc>
          <w:tcPr>
            <w:tcW w:w="1985" w:type="dxa"/>
            <w:shd w:val="clear" w:color="auto" w:fill="auto"/>
            <w:noWrap/>
            <w:vAlign w:val="center"/>
            <w:hideMark/>
          </w:tcPr>
          <w:p w14:paraId="670BE328"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27</w:t>
            </w:r>
          </w:p>
        </w:tc>
        <w:tc>
          <w:tcPr>
            <w:tcW w:w="1118" w:type="dxa"/>
            <w:shd w:val="clear" w:color="auto" w:fill="auto"/>
            <w:noWrap/>
            <w:vAlign w:val="center"/>
            <w:hideMark/>
          </w:tcPr>
          <w:p w14:paraId="4E16555D"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15</w:t>
            </w:r>
          </w:p>
        </w:tc>
        <w:tc>
          <w:tcPr>
            <w:tcW w:w="1438" w:type="dxa"/>
            <w:shd w:val="clear" w:color="auto" w:fill="auto"/>
            <w:noWrap/>
            <w:vAlign w:val="center"/>
            <w:hideMark/>
          </w:tcPr>
          <w:p w14:paraId="49D5B6D6"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36%</w:t>
            </w:r>
          </w:p>
        </w:tc>
      </w:tr>
      <w:tr w:rsidR="00B63D09" w:rsidRPr="008C6F27" w14:paraId="6FA67AC7" w14:textId="77777777" w:rsidTr="00D12D6D">
        <w:trPr>
          <w:trHeight w:val="300"/>
          <w:jc w:val="center"/>
        </w:trPr>
        <w:tc>
          <w:tcPr>
            <w:tcW w:w="1980" w:type="dxa"/>
            <w:shd w:val="clear" w:color="auto" w:fill="auto"/>
            <w:noWrap/>
            <w:vAlign w:val="center"/>
            <w:hideMark/>
          </w:tcPr>
          <w:p w14:paraId="31C510AE" w14:textId="77777777" w:rsidR="00B63D09" w:rsidRPr="008C6F27" w:rsidRDefault="00B63D09" w:rsidP="00D12D6D">
            <w:pPr>
              <w:ind w:firstLineChars="100" w:firstLine="200"/>
              <w:rPr>
                <w:rFonts w:ascii="Arial" w:hAnsi="Arial" w:cs="Arial"/>
                <w:color w:val="000000"/>
                <w:sz w:val="20"/>
                <w:szCs w:val="20"/>
              </w:rPr>
            </w:pPr>
            <w:r w:rsidRPr="008C6F27">
              <w:rPr>
                <w:rFonts w:ascii="Arial" w:hAnsi="Arial" w:cs="Arial"/>
                <w:color w:val="000000"/>
                <w:sz w:val="20"/>
                <w:szCs w:val="20"/>
              </w:rPr>
              <w:t>Doungou</w:t>
            </w:r>
          </w:p>
        </w:tc>
        <w:tc>
          <w:tcPr>
            <w:tcW w:w="1979" w:type="dxa"/>
            <w:shd w:val="clear" w:color="auto" w:fill="auto"/>
            <w:noWrap/>
            <w:vAlign w:val="center"/>
            <w:hideMark/>
          </w:tcPr>
          <w:p w14:paraId="701DA1C6"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124</w:t>
            </w:r>
          </w:p>
        </w:tc>
        <w:tc>
          <w:tcPr>
            <w:tcW w:w="1985" w:type="dxa"/>
            <w:shd w:val="clear" w:color="auto" w:fill="auto"/>
            <w:noWrap/>
            <w:vAlign w:val="center"/>
            <w:hideMark/>
          </w:tcPr>
          <w:p w14:paraId="3BD41C78"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78</w:t>
            </w:r>
          </w:p>
        </w:tc>
        <w:tc>
          <w:tcPr>
            <w:tcW w:w="1118" w:type="dxa"/>
            <w:shd w:val="clear" w:color="auto" w:fill="auto"/>
            <w:noWrap/>
            <w:vAlign w:val="center"/>
            <w:hideMark/>
          </w:tcPr>
          <w:p w14:paraId="53550507"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46</w:t>
            </w:r>
          </w:p>
        </w:tc>
        <w:tc>
          <w:tcPr>
            <w:tcW w:w="1438" w:type="dxa"/>
            <w:shd w:val="clear" w:color="auto" w:fill="auto"/>
            <w:noWrap/>
            <w:vAlign w:val="center"/>
            <w:hideMark/>
          </w:tcPr>
          <w:p w14:paraId="7FAECAC9"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37%</w:t>
            </w:r>
          </w:p>
        </w:tc>
      </w:tr>
      <w:tr w:rsidR="00B63D09" w:rsidRPr="008C6F27" w14:paraId="60BF83CD" w14:textId="77777777" w:rsidTr="00D12D6D">
        <w:trPr>
          <w:trHeight w:val="300"/>
          <w:jc w:val="center"/>
        </w:trPr>
        <w:tc>
          <w:tcPr>
            <w:tcW w:w="1980" w:type="dxa"/>
            <w:shd w:val="clear" w:color="auto" w:fill="auto"/>
            <w:noWrap/>
            <w:vAlign w:val="center"/>
            <w:hideMark/>
          </w:tcPr>
          <w:p w14:paraId="60C10493" w14:textId="77777777" w:rsidR="00B63D09" w:rsidRPr="008C6F27" w:rsidRDefault="00B63D09" w:rsidP="00D12D6D">
            <w:pPr>
              <w:ind w:firstLineChars="100" w:firstLine="200"/>
              <w:rPr>
                <w:rFonts w:ascii="Arial" w:hAnsi="Arial" w:cs="Arial"/>
                <w:color w:val="000000"/>
                <w:sz w:val="20"/>
                <w:szCs w:val="20"/>
              </w:rPr>
            </w:pPr>
            <w:r w:rsidRPr="008C6F27">
              <w:rPr>
                <w:rFonts w:ascii="Arial" w:hAnsi="Arial" w:cs="Arial"/>
                <w:color w:val="000000"/>
                <w:sz w:val="20"/>
                <w:szCs w:val="20"/>
              </w:rPr>
              <w:t>Guidimouni</w:t>
            </w:r>
          </w:p>
        </w:tc>
        <w:tc>
          <w:tcPr>
            <w:tcW w:w="1979" w:type="dxa"/>
            <w:shd w:val="clear" w:color="auto" w:fill="auto"/>
            <w:noWrap/>
            <w:vAlign w:val="center"/>
            <w:hideMark/>
          </w:tcPr>
          <w:p w14:paraId="67D964F9"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37</w:t>
            </w:r>
          </w:p>
        </w:tc>
        <w:tc>
          <w:tcPr>
            <w:tcW w:w="1985" w:type="dxa"/>
            <w:shd w:val="clear" w:color="auto" w:fill="auto"/>
            <w:noWrap/>
            <w:vAlign w:val="center"/>
            <w:hideMark/>
          </w:tcPr>
          <w:p w14:paraId="1A03A20A"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17</w:t>
            </w:r>
          </w:p>
        </w:tc>
        <w:tc>
          <w:tcPr>
            <w:tcW w:w="1118" w:type="dxa"/>
            <w:shd w:val="clear" w:color="auto" w:fill="auto"/>
            <w:noWrap/>
            <w:vAlign w:val="center"/>
            <w:hideMark/>
          </w:tcPr>
          <w:p w14:paraId="186C1D98"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20</w:t>
            </w:r>
          </w:p>
        </w:tc>
        <w:tc>
          <w:tcPr>
            <w:tcW w:w="1438" w:type="dxa"/>
            <w:shd w:val="clear" w:color="auto" w:fill="auto"/>
            <w:noWrap/>
            <w:vAlign w:val="center"/>
            <w:hideMark/>
          </w:tcPr>
          <w:p w14:paraId="06B82065" w14:textId="77777777" w:rsidR="00B63D09" w:rsidRPr="008C6F27" w:rsidRDefault="00B63D09" w:rsidP="00D12D6D">
            <w:pPr>
              <w:jc w:val="right"/>
              <w:rPr>
                <w:rFonts w:ascii="Arial" w:hAnsi="Arial" w:cs="Arial"/>
                <w:color w:val="000000"/>
                <w:sz w:val="20"/>
                <w:szCs w:val="20"/>
              </w:rPr>
            </w:pPr>
            <w:r w:rsidRPr="008C6F27">
              <w:rPr>
                <w:rFonts w:ascii="Arial" w:hAnsi="Arial" w:cs="Arial"/>
                <w:color w:val="000000"/>
                <w:sz w:val="20"/>
                <w:szCs w:val="20"/>
              </w:rPr>
              <w:t>54%</w:t>
            </w:r>
          </w:p>
        </w:tc>
      </w:tr>
      <w:tr w:rsidR="00B63D09" w:rsidRPr="008C6F27" w14:paraId="57A01E8E" w14:textId="77777777" w:rsidTr="00D12D6D">
        <w:trPr>
          <w:trHeight w:val="300"/>
          <w:jc w:val="center"/>
        </w:trPr>
        <w:tc>
          <w:tcPr>
            <w:tcW w:w="1980" w:type="dxa"/>
            <w:shd w:val="clear" w:color="000000" w:fill="D9E7FD"/>
            <w:noWrap/>
            <w:vAlign w:val="center"/>
            <w:hideMark/>
          </w:tcPr>
          <w:p w14:paraId="2E3049C2" w14:textId="77777777" w:rsidR="00B63D09" w:rsidRPr="008C6F27" w:rsidRDefault="00B63D09" w:rsidP="00D12D6D">
            <w:pPr>
              <w:rPr>
                <w:rFonts w:ascii="Arial" w:hAnsi="Arial" w:cs="Arial"/>
                <w:b/>
                <w:bCs/>
                <w:color w:val="000000"/>
                <w:sz w:val="20"/>
                <w:szCs w:val="20"/>
              </w:rPr>
            </w:pPr>
            <w:r w:rsidRPr="008C6F27">
              <w:rPr>
                <w:rFonts w:ascii="Arial" w:hAnsi="Arial" w:cs="Arial"/>
                <w:b/>
                <w:bCs/>
                <w:color w:val="000000"/>
                <w:sz w:val="20"/>
                <w:szCs w:val="20"/>
              </w:rPr>
              <w:t>Total général</w:t>
            </w:r>
          </w:p>
        </w:tc>
        <w:tc>
          <w:tcPr>
            <w:tcW w:w="1979" w:type="dxa"/>
            <w:shd w:val="clear" w:color="000000" w:fill="D9E7FD"/>
            <w:noWrap/>
            <w:vAlign w:val="center"/>
            <w:hideMark/>
          </w:tcPr>
          <w:p w14:paraId="0D8A5BBD"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617</w:t>
            </w:r>
          </w:p>
        </w:tc>
        <w:tc>
          <w:tcPr>
            <w:tcW w:w="1985" w:type="dxa"/>
            <w:shd w:val="clear" w:color="000000" w:fill="D9E7FD"/>
            <w:noWrap/>
            <w:vAlign w:val="center"/>
            <w:hideMark/>
          </w:tcPr>
          <w:p w14:paraId="0FEE2759"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348</w:t>
            </w:r>
          </w:p>
        </w:tc>
        <w:tc>
          <w:tcPr>
            <w:tcW w:w="1118" w:type="dxa"/>
            <w:shd w:val="clear" w:color="000000" w:fill="D9E7FD"/>
            <w:noWrap/>
            <w:vAlign w:val="center"/>
            <w:hideMark/>
          </w:tcPr>
          <w:p w14:paraId="3E6831F6"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269</w:t>
            </w:r>
          </w:p>
        </w:tc>
        <w:tc>
          <w:tcPr>
            <w:tcW w:w="1438" w:type="dxa"/>
            <w:shd w:val="clear" w:color="000000" w:fill="D9E7FD"/>
            <w:noWrap/>
            <w:vAlign w:val="center"/>
            <w:hideMark/>
          </w:tcPr>
          <w:p w14:paraId="3E517FC9" w14:textId="77777777" w:rsidR="00B63D09" w:rsidRPr="008C6F27" w:rsidRDefault="00B63D09" w:rsidP="00D12D6D">
            <w:pPr>
              <w:jc w:val="right"/>
              <w:rPr>
                <w:rFonts w:ascii="Arial" w:hAnsi="Arial" w:cs="Arial"/>
                <w:b/>
                <w:bCs/>
                <w:color w:val="000000"/>
                <w:sz w:val="20"/>
                <w:szCs w:val="20"/>
              </w:rPr>
            </w:pPr>
            <w:r w:rsidRPr="008C6F27">
              <w:rPr>
                <w:rFonts w:ascii="Arial" w:hAnsi="Arial" w:cs="Arial"/>
                <w:b/>
                <w:bCs/>
                <w:color w:val="000000"/>
                <w:sz w:val="20"/>
                <w:szCs w:val="20"/>
              </w:rPr>
              <w:t>44%</w:t>
            </w:r>
          </w:p>
        </w:tc>
      </w:tr>
    </w:tbl>
    <w:p w14:paraId="34C113F0" w14:textId="77777777" w:rsidR="00B63D09" w:rsidRPr="000E18CE" w:rsidRDefault="00B63D09" w:rsidP="00B63D09">
      <w:pPr>
        <w:tabs>
          <w:tab w:val="left" w:pos="4402"/>
        </w:tabs>
        <w:spacing w:line="276" w:lineRule="auto"/>
        <w:rPr>
          <w:rFonts w:ascii="Bookman Old Style" w:hAnsi="Bookman Old Style" w:cs="Arial"/>
          <w:sz w:val="18"/>
          <w:szCs w:val="18"/>
        </w:rPr>
      </w:pPr>
      <w:r>
        <w:rPr>
          <w:rFonts w:ascii="Bookman Old Style" w:hAnsi="Bookman Old Style" w:cs="Arial"/>
          <w:sz w:val="18"/>
          <w:szCs w:val="18"/>
        </w:rPr>
        <w:t xml:space="preserve">    </w:t>
      </w:r>
      <w:bookmarkStart w:id="63" w:name="_Hlk97814135"/>
      <w:r w:rsidRPr="000E18CE">
        <w:rPr>
          <w:rFonts w:ascii="Bookman Old Style" w:hAnsi="Bookman Old Style" w:cs="Arial"/>
          <w:sz w:val="18"/>
          <w:szCs w:val="18"/>
        </w:rPr>
        <w:t>Source : Enquête terrain, septembre 2021</w:t>
      </w:r>
      <w:bookmarkEnd w:id="63"/>
    </w:p>
    <w:p w14:paraId="0D9EE4F4" w14:textId="1C3F459F" w:rsidR="00B63D09" w:rsidRDefault="00B63D09" w:rsidP="00807B10"/>
    <w:p w14:paraId="78F1A69F" w14:textId="7F82FF98" w:rsidR="00CA349D" w:rsidRPr="00B91700" w:rsidRDefault="00CA349D" w:rsidP="00AA2902">
      <w:pPr>
        <w:tabs>
          <w:tab w:val="left" w:pos="4402"/>
        </w:tabs>
        <w:spacing w:line="276" w:lineRule="auto"/>
        <w:rPr>
          <w:rFonts w:ascii="Bookman Old Style" w:hAnsi="Bookman Old Style" w:cs="Arial"/>
          <w:b/>
          <w:bCs/>
          <w:i/>
          <w:iCs/>
        </w:rPr>
      </w:pPr>
      <w:r w:rsidRPr="00B91700">
        <w:rPr>
          <w:rFonts w:ascii="Bookman Old Style" w:hAnsi="Bookman Old Style" w:cs="Arial"/>
          <w:b/>
          <w:bCs/>
          <w:i/>
          <w:iCs/>
        </w:rPr>
        <w:t>Moyenne de jour consacré à la main d’œuvre agricole</w:t>
      </w:r>
    </w:p>
    <w:p w14:paraId="231755F8" w14:textId="1FB57D84"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lastRenderedPageBreak/>
        <w:t xml:space="preserve">Contrairement au recours à la main d’œuvre agricole pour subvenir aux besoins de ménages </w:t>
      </w:r>
      <w:r w:rsidR="000229B8" w:rsidRPr="007B5322">
        <w:rPr>
          <w:rFonts w:ascii="Bookman Old Style" w:hAnsi="Bookman Old Style"/>
        </w:rPr>
        <w:t>afin d’</w:t>
      </w:r>
      <w:r w:rsidRPr="007B5322">
        <w:rPr>
          <w:rFonts w:ascii="Bookman Old Style" w:hAnsi="Bookman Old Style"/>
        </w:rPr>
        <w:t xml:space="preserve">exploiter les champs qui a connu une réduction, le temps ou la durée consacrée cette main d’œuvre a, quant à elle connu une hausse de façon globale. Ainsi, au regard de </w:t>
      </w:r>
      <w:r w:rsidR="00B91700">
        <w:rPr>
          <w:rFonts w:ascii="Bookman Old Style" w:hAnsi="Bookman Old Style"/>
        </w:rPr>
        <w:t>figure</w:t>
      </w:r>
      <w:r w:rsidRPr="007B5322">
        <w:rPr>
          <w:rFonts w:ascii="Bookman Old Style" w:hAnsi="Bookman Old Style"/>
        </w:rPr>
        <w:t xml:space="preserve"> ci-dessous on constate globalement une augmentation moyenne de 2 jours de l’emploi agricole supplémentaire par rapport à la situation d’avant la mise en place de GFS. La plus forte augmentation est enregistrée à Tahoua où il y a en moyenne 8 jours de travail agricole de plus (18 jours avant GFS contre 26 après GFS). </w:t>
      </w:r>
    </w:p>
    <w:p w14:paraId="5FE50FE0" w14:textId="43AA0317" w:rsidR="00CA349D" w:rsidRPr="007B5322" w:rsidRDefault="00CA349D" w:rsidP="007B5322">
      <w:pPr>
        <w:spacing w:before="240" w:line="276" w:lineRule="auto"/>
        <w:jc w:val="both"/>
        <w:rPr>
          <w:rFonts w:ascii="Bookman Old Style" w:hAnsi="Bookman Old Style"/>
        </w:rPr>
      </w:pPr>
      <w:r w:rsidRPr="007B5322">
        <w:rPr>
          <w:rFonts w:ascii="Bookman Old Style" w:hAnsi="Bookman Old Style"/>
        </w:rPr>
        <w:t>Toutefois, il y a une forte réduction de nombre de jour consacré à la main d’œuvre agricole à Maradi (10 jours). Cette particularité de Maradi peut être expliquée par le fait que la région a une grande expérience de cette initiative de GFS avec les projets FIDA antérieurs (PPILDA 200</w:t>
      </w:r>
      <w:r w:rsidR="00F95F96" w:rsidRPr="007B5322">
        <w:rPr>
          <w:rFonts w:ascii="Bookman Old Style" w:hAnsi="Bookman Old Style"/>
        </w:rPr>
        <w:t>5</w:t>
      </w:r>
      <w:r w:rsidRPr="007B5322">
        <w:rPr>
          <w:rFonts w:ascii="Bookman Old Style" w:hAnsi="Bookman Old Style"/>
        </w:rPr>
        <w:t>-201</w:t>
      </w:r>
      <w:r w:rsidR="00F95F96" w:rsidRPr="007B5322">
        <w:rPr>
          <w:rFonts w:ascii="Bookman Old Style" w:hAnsi="Bookman Old Style"/>
        </w:rPr>
        <w:t>2</w:t>
      </w:r>
      <w:r w:rsidRPr="007B5322">
        <w:rPr>
          <w:rFonts w:ascii="Bookman Old Style" w:hAnsi="Bookman Old Style"/>
        </w:rPr>
        <w:t xml:space="preserve"> et PASADEM </w:t>
      </w:r>
      <w:r w:rsidRPr="00C97C7F">
        <w:rPr>
          <w:rFonts w:ascii="Bookman Old Style" w:hAnsi="Bookman Old Style"/>
        </w:rPr>
        <w:t>2012-2018).</w:t>
      </w:r>
      <w:r w:rsidRPr="007B5322">
        <w:rPr>
          <w:rFonts w:ascii="Bookman Old Style" w:hAnsi="Bookman Old Style"/>
        </w:rPr>
        <w:t xml:space="preserve"> </w:t>
      </w:r>
    </w:p>
    <w:p w14:paraId="719EEB66" w14:textId="77777777" w:rsidR="00CA349D" w:rsidRDefault="00CA349D" w:rsidP="00807B10"/>
    <w:p w14:paraId="78B99EE3" w14:textId="77777777" w:rsidR="00CA349D" w:rsidRDefault="00CA349D" w:rsidP="00B4164B">
      <w:pPr>
        <w:jc w:val="center"/>
      </w:pPr>
      <w:r>
        <w:rPr>
          <w:noProof/>
        </w:rPr>
        <w:drawing>
          <wp:inline distT="0" distB="0" distL="0" distR="0" wp14:anchorId="5D2511FE" wp14:editId="354061ED">
            <wp:extent cx="4610100" cy="2716530"/>
            <wp:effectExtent l="0" t="0" r="0" b="7620"/>
            <wp:docPr id="46" name="Graphique 46">
              <a:extLst xmlns:a="http://schemas.openxmlformats.org/drawingml/2006/main">
                <a:ext uri="{FF2B5EF4-FFF2-40B4-BE49-F238E27FC236}">
                  <a16:creationId xmlns:a16="http://schemas.microsoft.com/office/drawing/2014/main" id="{4843E7B3-0D8C-4224-B30F-478AEF27A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F565A9" w14:textId="0F6B531A" w:rsidR="009011DD" w:rsidRPr="00B4164B" w:rsidRDefault="003D37B5" w:rsidP="00807B10">
      <w:pPr>
        <w:rPr>
          <w:i/>
          <w:iCs/>
          <w:color w:val="1F497D" w:themeColor="text2"/>
          <w:sz w:val="18"/>
          <w:szCs w:val="18"/>
        </w:rPr>
      </w:pPr>
      <w:r w:rsidRPr="00B4164B">
        <w:rPr>
          <w:i/>
          <w:iCs/>
          <w:color w:val="1F497D" w:themeColor="text2"/>
          <w:sz w:val="18"/>
          <w:szCs w:val="18"/>
        </w:rPr>
        <w:t xml:space="preserve">               </w:t>
      </w:r>
      <w:r w:rsidR="00940964">
        <w:rPr>
          <w:i/>
          <w:iCs/>
          <w:color w:val="1F497D" w:themeColor="text2"/>
          <w:sz w:val="18"/>
          <w:szCs w:val="18"/>
        </w:rPr>
        <w:t xml:space="preserve">    </w:t>
      </w:r>
      <w:bookmarkStart w:id="64" w:name="_Toc97823235"/>
      <w:r w:rsidR="009011DD" w:rsidRPr="00B4164B">
        <w:rPr>
          <w:i/>
          <w:iCs/>
          <w:color w:val="1F497D" w:themeColor="text2"/>
          <w:sz w:val="18"/>
          <w:szCs w:val="18"/>
        </w:rPr>
        <w:t xml:space="preserve">Figure </w:t>
      </w:r>
      <w:r w:rsidR="009011DD" w:rsidRPr="00B4164B">
        <w:rPr>
          <w:i/>
          <w:iCs/>
          <w:color w:val="1F497D" w:themeColor="text2"/>
          <w:sz w:val="18"/>
          <w:szCs w:val="18"/>
        </w:rPr>
        <w:fldChar w:fldCharType="begin"/>
      </w:r>
      <w:r w:rsidR="009011DD" w:rsidRPr="00B4164B">
        <w:rPr>
          <w:i/>
          <w:iCs/>
          <w:color w:val="1F497D" w:themeColor="text2"/>
          <w:sz w:val="18"/>
          <w:szCs w:val="18"/>
        </w:rPr>
        <w:instrText xml:space="preserve"> SEQ Figure \* ARABIC </w:instrText>
      </w:r>
      <w:r w:rsidR="009011DD" w:rsidRPr="00B4164B">
        <w:rPr>
          <w:i/>
          <w:iCs/>
          <w:color w:val="1F497D" w:themeColor="text2"/>
          <w:sz w:val="18"/>
          <w:szCs w:val="18"/>
        </w:rPr>
        <w:fldChar w:fldCharType="separate"/>
      </w:r>
      <w:r w:rsidR="004F4E33">
        <w:rPr>
          <w:i/>
          <w:iCs/>
          <w:noProof/>
          <w:color w:val="1F497D" w:themeColor="text2"/>
          <w:sz w:val="18"/>
          <w:szCs w:val="18"/>
        </w:rPr>
        <w:t>22</w:t>
      </w:r>
      <w:r w:rsidR="009011DD" w:rsidRPr="00B4164B">
        <w:rPr>
          <w:i/>
          <w:iCs/>
          <w:color w:val="1F497D" w:themeColor="text2"/>
          <w:sz w:val="18"/>
          <w:szCs w:val="18"/>
        </w:rPr>
        <w:fldChar w:fldCharType="end"/>
      </w:r>
      <w:r w:rsidR="009011DD" w:rsidRPr="00B4164B">
        <w:rPr>
          <w:i/>
          <w:iCs/>
          <w:color w:val="1F497D" w:themeColor="text2"/>
          <w:sz w:val="18"/>
          <w:szCs w:val="18"/>
        </w:rPr>
        <w:t xml:space="preserve"> : </w:t>
      </w:r>
      <w:bookmarkStart w:id="65" w:name="_Hlk97729858"/>
      <w:r w:rsidR="009011DD" w:rsidRPr="00B4164B">
        <w:rPr>
          <w:i/>
          <w:iCs/>
          <w:color w:val="1F497D" w:themeColor="text2"/>
          <w:sz w:val="18"/>
          <w:szCs w:val="18"/>
        </w:rPr>
        <w:t>Nombre de jour moyen consacré à la MO agricole avant et après GFS par Région</w:t>
      </w:r>
      <w:bookmarkEnd w:id="64"/>
      <w:bookmarkEnd w:id="65"/>
    </w:p>
    <w:p w14:paraId="43F39F32" w14:textId="248C4070" w:rsidR="00CA349D" w:rsidRPr="007B5322" w:rsidRDefault="00822DDE" w:rsidP="007B5322">
      <w:pPr>
        <w:spacing w:before="240" w:line="276" w:lineRule="auto"/>
        <w:jc w:val="both"/>
        <w:rPr>
          <w:rFonts w:ascii="Bookman Old Style" w:hAnsi="Bookman Old Style"/>
        </w:rPr>
      </w:pPr>
      <w:r w:rsidRPr="007B5322">
        <w:rPr>
          <w:rFonts w:ascii="Bookman Old Style" w:hAnsi="Bookman Old Style"/>
        </w:rPr>
        <w:t>Par PDE</w:t>
      </w:r>
      <w:r w:rsidR="003510BF">
        <w:rPr>
          <w:rFonts w:ascii="Bookman Old Style" w:hAnsi="Bookman Old Style"/>
        </w:rPr>
        <w:t>,</w:t>
      </w:r>
      <w:r w:rsidRPr="007B5322">
        <w:rPr>
          <w:rFonts w:ascii="Bookman Old Style" w:hAnsi="Bookman Old Style"/>
        </w:rPr>
        <w:t xml:space="preserve"> on constate une forte augmentation de nombre de jour consacré à la vente de main d’œuvre agricole au niveau de </w:t>
      </w:r>
      <w:r w:rsidR="001F7730" w:rsidRPr="007B5322">
        <w:rPr>
          <w:rFonts w:ascii="Bookman Old Style" w:hAnsi="Bookman Old Style"/>
        </w:rPr>
        <w:t>Karofane (+13 jours), Tounfafi (+10 jours) et Bandé (+9 jours). Au regard de quantité des vivres reçus à la 1</w:t>
      </w:r>
      <w:r w:rsidR="001F7730" w:rsidRPr="007B5322">
        <w:rPr>
          <w:rFonts w:ascii="Bookman Old Style" w:hAnsi="Bookman Old Style"/>
          <w:vertAlign w:val="superscript"/>
        </w:rPr>
        <w:t>ère</w:t>
      </w:r>
      <w:r w:rsidR="001F7730" w:rsidRPr="007B5322">
        <w:rPr>
          <w:rFonts w:ascii="Bookman Old Style" w:hAnsi="Bookman Old Style"/>
        </w:rPr>
        <w:t xml:space="preserve"> et 2è distribution,</w:t>
      </w:r>
      <w:r w:rsidR="005D374E" w:rsidRPr="007B5322">
        <w:rPr>
          <w:rFonts w:ascii="Bookman Old Style" w:hAnsi="Bookman Old Style"/>
        </w:rPr>
        <w:t xml:space="preserve"> </w:t>
      </w:r>
      <w:r w:rsidR="001F7730" w:rsidRPr="007B5322">
        <w:rPr>
          <w:rFonts w:ascii="Bookman Old Style" w:hAnsi="Bookman Old Style"/>
        </w:rPr>
        <w:t>c</w:t>
      </w:r>
      <w:r w:rsidRPr="007B5322">
        <w:rPr>
          <w:rFonts w:ascii="Bookman Old Style" w:hAnsi="Bookman Old Style"/>
        </w:rPr>
        <w:t xml:space="preserve">ette augmentation de temps de salariat agricole peut s’expliquée entre autres par une stratégie d’adaptation des ménages afin de gagner plus d’argent pour subvenir </w:t>
      </w:r>
      <w:r w:rsidR="005D374E" w:rsidRPr="007B5322">
        <w:rPr>
          <w:rFonts w:ascii="Bookman Old Style" w:hAnsi="Bookman Old Style"/>
        </w:rPr>
        <w:t xml:space="preserve">à certains </w:t>
      </w:r>
      <w:r w:rsidRPr="007B5322">
        <w:rPr>
          <w:rFonts w:ascii="Bookman Old Style" w:hAnsi="Bookman Old Style"/>
        </w:rPr>
        <w:t>besoins</w:t>
      </w:r>
      <w:r w:rsidR="005D374E" w:rsidRPr="007B5322">
        <w:rPr>
          <w:rFonts w:ascii="Bookman Old Style" w:hAnsi="Bookman Old Style"/>
        </w:rPr>
        <w:t xml:space="preserve"> mais aussi du fait qu’après le sarclage, les stocks vivriers des ménages sont généralement épuisés. Ainsi, au niveau de PDE de Karofane, les ménages ont reçu en moyenne 54 </w:t>
      </w:r>
      <w:proofErr w:type="spellStart"/>
      <w:r w:rsidR="005D374E" w:rsidRPr="007B5322">
        <w:rPr>
          <w:rFonts w:ascii="Bookman Old Style" w:hAnsi="Bookman Old Style"/>
        </w:rPr>
        <w:t>tias</w:t>
      </w:r>
      <w:proofErr w:type="spellEnd"/>
      <w:r w:rsidR="005D374E" w:rsidRPr="007B5322">
        <w:rPr>
          <w:rFonts w:ascii="Bookman Old Style" w:hAnsi="Bookman Old Style"/>
        </w:rPr>
        <w:t xml:space="preserve"> de mil, 46 </w:t>
      </w:r>
      <w:proofErr w:type="spellStart"/>
      <w:r w:rsidR="005D374E" w:rsidRPr="007B5322">
        <w:rPr>
          <w:rFonts w:ascii="Bookman Old Style" w:hAnsi="Bookman Old Style"/>
        </w:rPr>
        <w:t>tias</w:t>
      </w:r>
      <w:proofErr w:type="spellEnd"/>
      <w:r w:rsidR="005D374E" w:rsidRPr="007B5322">
        <w:rPr>
          <w:rFonts w:ascii="Bookman Old Style" w:hAnsi="Bookman Old Style"/>
        </w:rPr>
        <w:t xml:space="preserve"> à </w:t>
      </w:r>
      <w:proofErr w:type="spellStart"/>
      <w:r w:rsidR="005D374E" w:rsidRPr="007B5322">
        <w:rPr>
          <w:rFonts w:ascii="Bookman Old Style" w:hAnsi="Bookman Old Style"/>
        </w:rPr>
        <w:t>Tounfafi</w:t>
      </w:r>
      <w:proofErr w:type="spellEnd"/>
      <w:r w:rsidR="005D374E" w:rsidRPr="007B5322">
        <w:rPr>
          <w:rFonts w:ascii="Bookman Old Style" w:hAnsi="Bookman Old Style"/>
        </w:rPr>
        <w:t xml:space="preserve"> et 30 </w:t>
      </w:r>
      <w:proofErr w:type="spellStart"/>
      <w:r w:rsidR="005D374E" w:rsidRPr="007B5322">
        <w:rPr>
          <w:rFonts w:ascii="Bookman Old Style" w:hAnsi="Bookman Old Style"/>
        </w:rPr>
        <w:t>tias</w:t>
      </w:r>
      <w:proofErr w:type="spellEnd"/>
      <w:r w:rsidR="005D374E" w:rsidRPr="007B5322">
        <w:rPr>
          <w:rFonts w:ascii="Bookman Old Style" w:hAnsi="Bookman Old Style"/>
        </w:rPr>
        <w:t xml:space="preserve"> à Bandé. </w:t>
      </w:r>
      <w:r w:rsidRPr="007B5322">
        <w:rPr>
          <w:rFonts w:ascii="Bookman Old Style" w:hAnsi="Bookman Old Style"/>
        </w:rPr>
        <w:t xml:space="preserve">  </w:t>
      </w:r>
    </w:p>
    <w:p w14:paraId="742F1BC0" w14:textId="77777777" w:rsidR="00CA349D" w:rsidRDefault="00CA349D" w:rsidP="00807B10"/>
    <w:p w14:paraId="4E4885BE" w14:textId="77777777" w:rsidR="00CA349D" w:rsidRDefault="00CA349D" w:rsidP="00B4164B">
      <w:pPr>
        <w:jc w:val="center"/>
      </w:pPr>
      <w:r>
        <w:rPr>
          <w:noProof/>
        </w:rPr>
        <w:lastRenderedPageBreak/>
        <w:drawing>
          <wp:inline distT="0" distB="0" distL="0" distR="0" wp14:anchorId="3DC1F95E" wp14:editId="2CB25362">
            <wp:extent cx="4610100" cy="3310890"/>
            <wp:effectExtent l="0" t="0" r="0" b="3810"/>
            <wp:docPr id="47" name="Graphique 47">
              <a:extLst xmlns:a="http://schemas.openxmlformats.org/drawingml/2006/main">
                <a:ext uri="{FF2B5EF4-FFF2-40B4-BE49-F238E27FC236}">
                  <a16:creationId xmlns:a16="http://schemas.microsoft.com/office/drawing/2014/main" id="{4843E7B3-0D8C-4224-B30F-478AEF27A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3FA091" w14:textId="0F30BB07" w:rsidR="00CA349D" w:rsidRPr="00B4164B" w:rsidRDefault="00CA349D" w:rsidP="00807B10">
      <w:pPr>
        <w:rPr>
          <w:i/>
          <w:iCs/>
          <w:color w:val="1F497D" w:themeColor="text2"/>
          <w:sz w:val="18"/>
          <w:szCs w:val="18"/>
        </w:rPr>
      </w:pPr>
      <w:r w:rsidRPr="00B4164B">
        <w:rPr>
          <w:i/>
          <w:iCs/>
          <w:color w:val="1F497D" w:themeColor="text2"/>
          <w:sz w:val="18"/>
          <w:szCs w:val="18"/>
        </w:rPr>
        <w:t xml:space="preserve">               </w:t>
      </w:r>
      <w:r w:rsidR="003D37B5" w:rsidRPr="00B4164B">
        <w:rPr>
          <w:i/>
          <w:iCs/>
          <w:color w:val="1F497D" w:themeColor="text2"/>
          <w:sz w:val="18"/>
          <w:szCs w:val="18"/>
        </w:rPr>
        <w:t xml:space="preserve"> </w:t>
      </w:r>
      <w:r w:rsidR="00325BAA">
        <w:rPr>
          <w:i/>
          <w:iCs/>
          <w:color w:val="1F497D" w:themeColor="text2"/>
          <w:sz w:val="18"/>
          <w:szCs w:val="18"/>
        </w:rPr>
        <w:t xml:space="preserve">   </w:t>
      </w:r>
      <w:bookmarkStart w:id="66" w:name="_Toc97823236"/>
      <w:r w:rsidR="009011DD" w:rsidRPr="00B4164B">
        <w:rPr>
          <w:i/>
          <w:iCs/>
          <w:color w:val="1F497D" w:themeColor="text2"/>
          <w:sz w:val="18"/>
          <w:szCs w:val="18"/>
        </w:rPr>
        <w:t xml:space="preserve">Figure </w:t>
      </w:r>
      <w:r w:rsidR="009011DD" w:rsidRPr="00B4164B">
        <w:rPr>
          <w:i/>
          <w:iCs/>
          <w:color w:val="1F497D" w:themeColor="text2"/>
          <w:sz w:val="18"/>
          <w:szCs w:val="18"/>
        </w:rPr>
        <w:fldChar w:fldCharType="begin"/>
      </w:r>
      <w:r w:rsidR="009011DD" w:rsidRPr="00B4164B">
        <w:rPr>
          <w:i/>
          <w:iCs/>
          <w:color w:val="1F497D" w:themeColor="text2"/>
          <w:sz w:val="18"/>
          <w:szCs w:val="18"/>
        </w:rPr>
        <w:instrText xml:space="preserve"> SEQ Figure \* ARABIC </w:instrText>
      </w:r>
      <w:r w:rsidR="009011DD" w:rsidRPr="00B4164B">
        <w:rPr>
          <w:i/>
          <w:iCs/>
          <w:color w:val="1F497D" w:themeColor="text2"/>
          <w:sz w:val="18"/>
          <w:szCs w:val="18"/>
        </w:rPr>
        <w:fldChar w:fldCharType="separate"/>
      </w:r>
      <w:r w:rsidR="004F4E33">
        <w:rPr>
          <w:i/>
          <w:iCs/>
          <w:noProof/>
          <w:color w:val="1F497D" w:themeColor="text2"/>
          <w:sz w:val="18"/>
          <w:szCs w:val="18"/>
        </w:rPr>
        <w:t>23</w:t>
      </w:r>
      <w:r w:rsidR="009011DD" w:rsidRPr="00B4164B">
        <w:rPr>
          <w:i/>
          <w:iCs/>
          <w:color w:val="1F497D" w:themeColor="text2"/>
          <w:sz w:val="18"/>
          <w:szCs w:val="18"/>
        </w:rPr>
        <w:fldChar w:fldCharType="end"/>
      </w:r>
      <w:r w:rsidR="009011DD" w:rsidRPr="00B4164B">
        <w:rPr>
          <w:i/>
          <w:iCs/>
          <w:color w:val="1F497D" w:themeColor="text2"/>
          <w:sz w:val="18"/>
          <w:szCs w:val="18"/>
        </w:rPr>
        <w:t> : Nombre de jour moyen consacré à la MO agricole avant et après GFS par</w:t>
      </w:r>
      <w:r w:rsidR="009011DD" w:rsidRPr="009011DD">
        <w:t xml:space="preserve"> </w:t>
      </w:r>
      <w:r w:rsidR="009011DD" w:rsidRPr="00B4164B">
        <w:rPr>
          <w:i/>
          <w:iCs/>
          <w:color w:val="1F497D" w:themeColor="text2"/>
          <w:sz w:val="18"/>
          <w:szCs w:val="18"/>
        </w:rPr>
        <w:t>PDE</w:t>
      </w:r>
      <w:bookmarkEnd w:id="66"/>
    </w:p>
    <w:p w14:paraId="5C9F3A14" w14:textId="074FBB60" w:rsidR="00EA40B2" w:rsidRPr="001310BC" w:rsidRDefault="00CA349D" w:rsidP="007739CB">
      <w:pPr>
        <w:pStyle w:val="Titre3"/>
        <w:numPr>
          <w:ilvl w:val="2"/>
          <w:numId w:val="3"/>
        </w:numPr>
        <w:rPr>
          <w:rFonts w:ascii="Bookman Old Style" w:hAnsi="Bookman Old Style" w:cs="Arial"/>
          <w:i/>
          <w:iCs/>
        </w:rPr>
      </w:pPr>
      <w:bookmarkStart w:id="67" w:name="_Toc97822368"/>
      <w:r w:rsidRPr="001310BC">
        <w:rPr>
          <w:rFonts w:ascii="Bookman Old Style" w:hAnsi="Bookman Old Style" w:cs="Arial"/>
          <w:i/>
          <w:iCs/>
        </w:rPr>
        <w:t>S</w:t>
      </w:r>
      <w:r w:rsidR="00EA40B2" w:rsidRPr="001310BC">
        <w:rPr>
          <w:rFonts w:ascii="Bookman Old Style" w:hAnsi="Bookman Old Style" w:cs="Arial"/>
          <w:i/>
          <w:iCs/>
        </w:rPr>
        <w:t>écurité alimentaire et nutritionnelle</w:t>
      </w:r>
      <w:bookmarkEnd w:id="67"/>
    </w:p>
    <w:p w14:paraId="15C01F59" w14:textId="1CF9949B" w:rsidR="00CA349D" w:rsidRDefault="00DC0873" w:rsidP="009E7D75">
      <w:pPr>
        <w:tabs>
          <w:tab w:val="left" w:pos="4402"/>
        </w:tabs>
        <w:spacing w:before="240" w:line="276" w:lineRule="auto"/>
        <w:jc w:val="both"/>
        <w:rPr>
          <w:rFonts w:ascii="Bookman Old Style" w:hAnsi="Bookman Old Style" w:cs="Arial"/>
        </w:rPr>
      </w:pPr>
      <w:r>
        <w:rPr>
          <w:rFonts w:ascii="Bookman Old Style" w:hAnsi="Bookman Old Style" w:cs="Arial"/>
        </w:rPr>
        <w:t>L’impact de GFS sur la sécurité alimentaire et nutritionnelle des ménages peut s’apprécier par l’augmentation</w:t>
      </w:r>
      <w:r w:rsidR="005B2B67">
        <w:rPr>
          <w:rFonts w:ascii="Bookman Old Style" w:hAnsi="Bookman Old Style" w:cs="Arial"/>
        </w:rPr>
        <w:t xml:space="preserve"> de nombre de repas par jour au niveau des ménages. Ainsi, selon </w:t>
      </w:r>
      <w:r w:rsidR="00234096">
        <w:rPr>
          <w:rFonts w:ascii="Bookman Old Style" w:hAnsi="Bookman Old Style" w:cs="Arial"/>
        </w:rPr>
        <w:t>la figure</w:t>
      </w:r>
      <w:r w:rsidR="005B2B67">
        <w:rPr>
          <w:rFonts w:ascii="Bookman Old Style" w:hAnsi="Bookman Old Style" w:cs="Arial"/>
        </w:rPr>
        <w:t xml:space="preserve"> ci-dessous, on note une augmentation de nombre de repas au niveau de toutes les régions avec 40% des réponses à Tahoua contre 28% à Zinder (plus petit taux).</w:t>
      </w:r>
    </w:p>
    <w:p w14:paraId="10CABB9D" w14:textId="77777777" w:rsidR="005B2B67" w:rsidRDefault="005B2B67" w:rsidP="005B2B67">
      <w:pPr>
        <w:tabs>
          <w:tab w:val="left" w:pos="4402"/>
        </w:tabs>
        <w:spacing w:line="276" w:lineRule="auto"/>
        <w:jc w:val="both"/>
        <w:rPr>
          <w:rFonts w:ascii="Bookman Old Style" w:hAnsi="Bookman Old Style" w:cs="Arial"/>
        </w:rPr>
      </w:pPr>
    </w:p>
    <w:p w14:paraId="4D00A441" w14:textId="6B93AFA5" w:rsidR="003F6396" w:rsidRDefault="0091141E" w:rsidP="0091141E">
      <w:pPr>
        <w:tabs>
          <w:tab w:val="left" w:pos="4402"/>
        </w:tabs>
        <w:spacing w:line="276" w:lineRule="auto"/>
        <w:jc w:val="center"/>
        <w:rPr>
          <w:rFonts w:ascii="Bookman Old Style" w:hAnsi="Bookman Old Style" w:cs="Arial"/>
        </w:rPr>
      </w:pPr>
      <w:r>
        <w:rPr>
          <w:noProof/>
        </w:rPr>
        <w:drawing>
          <wp:inline distT="0" distB="0" distL="0" distR="0" wp14:anchorId="1BC63CA9" wp14:editId="154214E6">
            <wp:extent cx="4602480" cy="2183130"/>
            <wp:effectExtent l="0" t="0" r="7620" b="7620"/>
            <wp:docPr id="60" name="Graphique 60">
              <a:extLst xmlns:a="http://schemas.openxmlformats.org/drawingml/2006/main">
                <a:ext uri="{FF2B5EF4-FFF2-40B4-BE49-F238E27FC236}">
                  <a16:creationId xmlns:a16="http://schemas.microsoft.com/office/drawing/2014/main" id="{6E048DF8-2749-4EAB-BE0D-C11B9360B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9E6F68" w14:textId="0CB8D310" w:rsidR="0091141E" w:rsidRDefault="003D37B5" w:rsidP="003D37B5">
      <w:pPr>
        <w:pStyle w:val="Lgende"/>
        <w:rPr>
          <w:rFonts w:ascii="Bookman Old Style" w:hAnsi="Bookman Old Style" w:cs="Arial"/>
        </w:rPr>
      </w:pPr>
      <w:r>
        <w:t xml:space="preserve">                    </w:t>
      </w:r>
      <w:bookmarkStart w:id="68" w:name="_Toc97823237"/>
      <w:r w:rsidR="009011DD">
        <w:t xml:space="preserve">Figure </w:t>
      </w:r>
      <w:fldSimple w:instr=" SEQ Figure \* ARABIC ">
        <w:r w:rsidR="004F4E33">
          <w:rPr>
            <w:noProof/>
          </w:rPr>
          <w:t>24</w:t>
        </w:r>
      </w:fldSimple>
      <w:r w:rsidR="009011DD">
        <w:t> : Taux d'augmentation de nombre de repas</w:t>
      </w:r>
      <w:r w:rsidR="0066429B">
        <w:t>/</w:t>
      </w:r>
      <w:r w:rsidR="009011DD">
        <w:t>jour et par Région</w:t>
      </w:r>
      <w:bookmarkEnd w:id="68"/>
    </w:p>
    <w:p w14:paraId="2E1A4651" w14:textId="01ECF6DE" w:rsidR="00065754" w:rsidRDefault="004707A5" w:rsidP="00E32B3F">
      <w:pPr>
        <w:tabs>
          <w:tab w:val="left" w:pos="4402"/>
        </w:tabs>
        <w:spacing w:before="240" w:line="276" w:lineRule="auto"/>
        <w:jc w:val="both"/>
        <w:rPr>
          <w:rFonts w:ascii="Bookman Old Style" w:hAnsi="Bookman Old Style" w:cs="Arial"/>
        </w:rPr>
      </w:pPr>
      <w:r>
        <w:rPr>
          <w:rFonts w:ascii="Bookman Old Style" w:hAnsi="Bookman Old Style" w:cs="Arial"/>
        </w:rPr>
        <w:t xml:space="preserve">Cette augmentation se traduit par le rehaussement du nombre de repas pris par le ménage de 1 à 2 repas, 1 à 3 repas ou 2 à 3 repas. Ainsi, </w:t>
      </w:r>
      <w:r w:rsidR="007A5688">
        <w:rPr>
          <w:rFonts w:ascii="Bookman Old Style" w:hAnsi="Bookman Old Style" w:cs="Arial"/>
        </w:rPr>
        <w:t xml:space="preserve">au regard de </w:t>
      </w:r>
      <w:r w:rsidR="00B91700">
        <w:rPr>
          <w:rFonts w:ascii="Bookman Old Style" w:hAnsi="Bookman Old Style" w:cs="Arial"/>
        </w:rPr>
        <w:t>figure</w:t>
      </w:r>
      <w:r w:rsidR="007A5688">
        <w:rPr>
          <w:rFonts w:ascii="Bookman Old Style" w:hAnsi="Bookman Old Style" w:cs="Arial"/>
        </w:rPr>
        <w:t xml:space="preserve"> ci-dessous </w:t>
      </w:r>
      <w:r>
        <w:rPr>
          <w:rFonts w:ascii="Bookman Old Style" w:hAnsi="Bookman Old Style" w:cs="Arial"/>
        </w:rPr>
        <w:t xml:space="preserve">on relève que </w:t>
      </w:r>
      <w:r w:rsidR="007A5688">
        <w:rPr>
          <w:rFonts w:ascii="Bookman Old Style" w:hAnsi="Bookman Old Style" w:cs="Arial"/>
        </w:rPr>
        <w:t xml:space="preserve">le passage de 1 repas par jour à 2 est sensiblement le même au niveau de 3 régions avec un léger avantage pour la région de Tahoua (35% contre 33% et 32% respectivement à Zinder et Maradi). </w:t>
      </w:r>
      <w:r w:rsidR="008A5C22">
        <w:rPr>
          <w:rFonts w:ascii="Bookman Old Style" w:hAnsi="Bookman Old Style" w:cs="Arial"/>
        </w:rPr>
        <w:lastRenderedPageBreak/>
        <w:t>Pour le passage de 1 à 3 repas par jour, la région de Tahoua est en tête avec 51% contre 16% à Zinder, plus faible taux. Cela est en lien avec la quantité distribuée à Tahoua où les stocks GFS ont été fortement renforcés dans le cadre du plan covid-19. Par contre</w:t>
      </w:r>
      <w:r w:rsidR="001D2110">
        <w:rPr>
          <w:rFonts w:ascii="Bookman Old Style" w:hAnsi="Bookman Old Style" w:cs="Arial"/>
        </w:rPr>
        <w:t xml:space="preserve">, c’est à Zinder qu’on enregistre le plus de passage de 2 à 3 repas par jour avec 67% contre 13% à Tahoua, ce qui </w:t>
      </w:r>
      <w:r w:rsidR="00A16B93">
        <w:rPr>
          <w:rFonts w:ascii="Bookman Old Style" w:hAnsi="Bookman Old Style" w:cs="Arial"/>
        </w:rPr>
        <w:t xml:space="preserve">laisse dire </w:t>
      </w:r>
      <w:r w:rsidR="001D2110">
        <w:rPr>
          <w:rFonts w:ascii="Bookman Old Style" w:hAnsi="Bookman Old Style" w:cs="Arial"/>
        </w:rPr>
        <w:t>qu</w:t>
      </w:r>
      <w:r w:rsidR="00A16B93">
        <w:rPr>
          <w:rFonts w:ascii="Bookman Old Style" w:hAnsi="Bookman Old Style" w:cs="Arial"/>
        </w:rPr>
        <w:t xml:space="preserve">’il y aurait peut-être très peu d’augmentation de 1 à 3 repas </w:t>
      </w:r>
      <w:r w:rsidR="001D2110">
        <w:rPr>
          <w:rFonts w:ascii="Bookman Old Style" w:hAnsi="Bookman Old Style" w:cs="Arial"/>
        </w:rPr>
        <w:t>n’eut été l’impact de plan covid-19</w:t>
      </w:r>
      <w:r w:rsidR="00A16B93">
        <w:rPr>
          <w:rFonts w:ascii="Bookman Old Style" w:hAnsi="Bookman Old Style" w:cs="Arial"/>
        </w:rPr>
        <w:t xml:space="preserve"> grâce au renforcement des stocks</w:t>
      </w:r>
      <w:r w:rsidR="001D2110">
        <w:rPr>
          <w:rFonts w:ascii="Bookman Old Style" w:hAnsi="Bookman Old Style" w:cs="Arial"/>
        </w:rPr>
        <w:t xml:space="preserve"> </w:t>
      </w:r>
      <w:r w:rsidR="00A16B93">
        <w:rPr>
          <w:rFonts w:ascii="Bookman Old Style" w:hAnsi="Bookman Old Style" w:cs="Arial"/>
        </w:rPr>
        <w:t>GFS.</w:t>
      </w:r>
    </w:p>
    <w:p w14:paraId="099A1C1F" w14:textId="1BBA113E" w:rsidR="00065754" w:rsidRDefault="00065754" w:rsidP="00A16B93">
      <w:pPr>
        <w:tabs>
          <w:tab w:val="left" w:pos="4402"/>
        </w:tabs>
        <w:spacing w:line="276" w:lineRule="auto"/>
        <w:jc w:val="center"/>
        <w:rPr>
          <w:rFonts w:ascii="Bookman Old Style" w:hAnsi="Bookman Old Style" w:cs="Arial"/>
        </w:rPr>
      </w:pPr>
    </w:p>
    <w:p w14:paraId="44C6BD4F" w14:textId="3B18842A" w:rsidR="00065754" w:rsidRDefault="007A5688" w:rsidP="00A16B93">
      <w:pPr>
        <w:tabs>
          <w:tab w:val="left" w:pos="4402"/>
        </w:tabs>
        <w:spacing w:line="276" w:lineRule="auto"/>
        <w:jc w:val="center"/>
        <w:rPr>
          <w:rFonts w:ascii="Bookman Old Style" w:hAnsi="Bookman Old Style" w:cs="Arial"/>
        </w:rPr>
      </w:pPr>
      <w:r>
        <w:rPr>
          <w:noProof/>
        </w:rPr>
        <w:drawing>
          <wp:inline distT="0" distB="0" distL="0" distR="0" wp14:anchorId="369307F0" wp14:editId="7539F19B">
            <wp:extent cx="4572000" cy="2773680"/>
            <wp:effectExtent l="0" t="0" r="0" b="7620"/>
            <wp:docPr id="15" name="Graphique 15">
              <a:extLst xmlns:a="http://schemas.openxmlformats.org/drawingml/2006/main">
                <a:ext uri="{FF2B5EF4-FFF2-40B4-BE49-F238E27FC236}">
                  <a16:creationId xmlns:a16="http://schemas.microsoft.com/office/drawing/2014/main" id="{A32DE503-5F5A-4612-BD3E-43C0CEA6E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6BBB6D" w14:textId="092D3F7F" w:rsidR="00E765DF" w:rsidRDefault="003D37B5" w:rsidP="003D37B5">
      <w:pPr>
        <w:pStyle w:val="Lgende"/>
        <w:rPr>
          <w:rFonts w:ascii="Bookman Old Style" w:hAnsi="Bookman Old Style" w:cs="Arial"/>
        </w:rPr>
      </w:pPr>
      <w:r>
        <w:t xml:space="preserve">                    </w:t>
      </w:r>
      <w:bookmarkStart w:id="69" w:name="_Toc97823238"/>
      <w:r w:rsidR="009011DD">
        <w:t xml:space="preserve">Figure </w:t>
      </w:r>
      <w:fldSimple w:instr=" SEQ Figure \* ARABIC ">
        <w:r w:rsidR="004F4E33">
          <w:rPr>
            <w:noProof/>
          </w:rPr>
          <w:t>25</w:t>
        </w:r>
      </w:fldSimple>
      <w:r w:rsidR="009011DD">
        <w:t xml:space="preserve"> : </w:t>
      </w:r>
      <w:r w:rsidR="009011DD" w:rsidRPr="009011DD">
        <w:t>Augmentation de nombre de repas</w:t>
      </w:r>
      <w:r w:rsidR="0066429B">
        <w:t>/</w:t>
      </w:r>
      <w:r w:rsidR="009011DD" w:rsidRPr="009011DD">
        <w:t xml:space="preserve">jour et par </w:t>
      </w:r>
      <w:r w:rsidR="009011DD">
        <w:t>Région</w:t>
      </w:r>
      <w:bookmarkEnd w:id="69"/>
    </w:p>
    <w:p w14:paraId="23D0F795" w14:textId="59F4CD10" w:rsidR="005B2B67" w:rsidRDefault="005B2B67" w:rsidP="00E32B3F">
      <w:pPr>
        <w:tabs>
          <w:tab w:val="left" w:pos="4402"/>
        </w:tabs>
        <w:spacing w:before="240" w:line="276" w:lineRule="auto"/>
        <w:jc w:val="both"/>
        <w:rPr>
          <w:rFonts w:ascii="Bookman Old Style" w:hAnsi="Bookman Old Style" w:cs="Arial"/>
        </w:rPr>
      </w:pPr>
      <w:r>
        <w:rPr>
          <w:rFonts w:ascii="Bookman Old Style" w:hAnsi="Bookman Old Style" w:cs="Arial"/>
        </w:rPr>
        <w:t>Si on analyse des informations par PDE on constate</w:t>
      </w:r>
      <w:r w:rsidR="00065754">
        <w:rPr>
          <w:rFonts w:ascii="Bookman Old Style" w:hAnsi="Bookman Old Style" w:cs="Arial"/>
        </w:rPr>
        <w:t xml:space="preserve"> que c’est à Tessaoua qu’il y a eu plus des bénéficiaires ayant fait cas d’augmentation de nombre de repas avec 22%, suivi de </w:t>
      </w:r>
      <w:proofErr w:type="spellStart"/>
      <w:r w:rsidR="00065754">
        <w:rPr>
          <w:rFonts w:ascii="Bookman Old Style" w:hAnsi="Bookman Old Style" w:cs="Arial"/>
        </w:rPr>
        <w:t>Badaguichiri</w:t>
      </w:r>
      <w:proofErr w:type="spellEnd"/>
      <w:r w:rsidR="00065754">
        <w:rPr>
          <w:rFonts w:ascii="Bookman Old Style" w:hAnsi="Bookman Old Style" w:cs="Arial"/>
        </w:rPr>
        <w:t xml:space="preserve"> 20%. Le plus faible taux sont enregistrés au niveau des PDE de Bandé et Guidimouni avec chacun 7%.</w:t>
      </w:r>
    </w:p>
    <w:p w14:paraId="486814A7" w14:textId="77777777" w:rsidR="004707A5" w:rsidRDefault="004707A5" w:rsidP="003F6396">
      <w:pPr>
        <w:tabs>
          <w:tab w:val="left" w:pos="4402"/>
        </w:tabs>
        <w:spacing w:line="276" w:lineRule="auto"/>
        <w:jc w:val="both"/>
        <w:rPr>
          <w:rFonts w:ascii="Bookman Old Style" w:hAnsi="Bookman Old Style" w:cs="Arial"/>
        </w:rPr>
      </w:pPr>
    </w:p>
    <w:p w14:paraId="00F92F09" w14:textId="205DD6A4" w:rsidR="0091141E" w:rsidRDefault="0091141E" w:rsidP="0091141E">
      <w:pPr>
        <w:tabs>
          <w:tab w:val="left" w:pos="4402"/>
        </w:tabs>
        <w:spacing w:line="276" w:lineRule="auto"/>
        <w:jc w:val="center"/>
        <w:rPr>
          <w:rFonts w:ascii="Bookman Old Style" w:hAnsi="Bookman Old Style" w:cs="Arial"/>
        </w:rPr>
      </w:pPr>
      <w:r>
        <w:rPr>
          <w:noProof/>
        </w:rPr>
        <w:drawing>
          <wp:inline distT="0" distB="0" distL="0" distR="0" wp14:anchorId="4B00159D" wp14:editId="5081A00D">
            <wp:extent cx="4732020" cy="2400300"/>
            <wp:effectExtent l="0" t="0" r="11430" b="0"/>
            <wp:docPr id="61" name="Graphique 61">
              <a:extLst xmlns:a="http://schemas.openxmlformats.org/drawingml/2006/main">
                <a:ext uri="{FF2B5EF4-FFF2-40B4-BE49-F238E27FC236}">
                  <a16:creationId xmlns:a16="http://schemas.microsoft.com/office/drawing/2014/main" id="{6E048DF8-2749-4EAB-BE0D-C11B9360B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3A3D97" w14:textId="61BBF5F1" w:rsidR="0091141E" w:rsidRDefault="003D37B5" w:rsidP="003D37B5">
      <w:pPr>
        <w:pStyle w:val="Lgende"/>
        <w:rPr>
          <w:rFonts w:ascii="Bookman Old Style" w:hAnsi="Bookman Old Style" w:cs="Arial"/>
        </w:rPr>
      </w:pPr>
      <w:r>
        <w:t xml:space="preserve">                 </w:t>
      </w:r>
      <w:bookmarkStart w:id="70" w:name="_Toc97823239"/>
      <w:r w:rsidR="009011DD">
        <w:t xml:space="preserve">Figure </w:t>
      </w:r>
      <w:fldSimple w:instr=" SEQ Figure \* ARABIC ">
        <w:r w:rsidR="004F4E33">
          <w:rPr>
            <w:noProof/>
          </w:rPr>
          <w:t>26</w:t>
        </w:r>
      </w:fldSimple>
      <w:r w:rsidR="009011DD">
        <w:t xml:space="preserve"> : </w:t>
      </w:r>
      <w:r w:rsidR="002840BC">
        <w:t>Taux d’a</w:t>
      </w:r>
      <w:r w:rsidR="009011DD" w:rsidRPr="009011DD">
        <w:t>ugmentation de nombre de repas</w:t>
      </w:r>
      <w:r w:rsidR="0066429B">
        <w:t>/</w:t>
      </w:r>
      <w:r w:rsidR="009011DD" w:rsidRPr="009011DD">
        <w:t>jour et par Région</w:t>
      </w:r>
      <w:bookmarkEnd w:id="70"/>
    </w:p>
    <w:p w14:paraId="2CAA265C" w14:textId="2A786461" w:rsidR="003F6396" w:rsidRDefault="00DC2148" w:rsidP="00F8203C">
      <w:pPr>
        <w:tabs>
          <w:tab w:val="left" w:pos="4402"/>
        </w:tabs>
        <w:spacing w:before="240" w:line="276" w:lineRule="auto"/>
        <w:jc w:val="both"/>
        <w:rPr>
          <w:rFonts w:ascii="Bookman Old Style" w:hAnsi="Bookman Old Style" w:cs="Arial"/>
        </w:rPr>
      </w:pPr>
      <w:r>
        <w:rPr>
          <w:rFonts w:ascii="Bookman Old Style" w:hAnsi="Bookman Old Style" w:cs="Arial"/>
        </w:rPr>
        <w:t xml:space="preserve">De façon plus détaillée on constate que le passage de 1 à 2 repas par jour est plus fort au niveau de PDE de Tessaoua (25%) suivi </w:t>
      </w:r>
      <w:r w:rsidR="00457379">
        <w:rPr>
          <w:rFonts w:ascii="Bookman Old Style" w:hAnsi="Bookman Old Style" w:cs="Arial"/>
        </w:rPr>
        <w:t xml:space="preserve">respectivement </w:t>
      </w:r>
      <w:r>
        <w:rPr>
          <w:rFonts w:ascii="Bookman Old Style" w:hAnsi="Bookman Old Style" w:cs="Arial"/>
        </w:rPr>
        <w:t xml:space="preserve">de </w:t>
      </w:r>
      <w:proofErr w:type="spellStart"/>
      <w:r>
        <w:rPr>
          <w:rFonts w:ascii="Bookman Old Style" w:hAnsi="Bookman Old Style" w:cs="Arial"/>
        </w:rPr>
        <w:lastRenderedPageBreak/>
        <w:t>Badaguichiri</w:t>
      </w:r>
      <w:proofErr w:type="spellEnd"/>
      <w:r>
        <w:rPr>
          <w:rFonts w:ascii="Bookman Old Style" w:hAnsi="Bookman Old Style" w:cs="Arial"/>
        </w:rPr>
        <w:t xml:space="preserve"> (22%)</w:t>
      </w:r>
      <w:r w:rsidR="00457379">
        <w:rPr>
          <w:rFonts w:ascii="Bookman Old Style" w:hAnsi="Bookman Old Style" w:cs="Arial"/>
        </w:rPr>
        <w:t xml:space="preserve"> et </w:t>
      </w:r>
      <w:proofErr w:type="spellStart"/>
      <w:r w:rsidR="00457379">
        <w:rPr>
          <w:rFonts w:ascii="Bookman Old Style" w:hAnsi="Bookman Old Style" w:cs="Arial"/>
        </w:rPr>
        <w:t>Doungou</w:t>
      </w:r>
      <w:proofErr w:type="spellEnd"/>
      <w:r w:rsidR="00457379">
        <w:rPr>
          <w:rFonts w:ascii="Bookman Old Style" w:hAnsi="Bookman Old Style" w:cs="Arial"/>
        </w:rPr>
        <w:t xml:space="preserve"> (16%). Cela sous-entend que 63% des enquêtées qui auraient se contenter d’1 repas par jour </w:t>
      </w:r>
      <w:r w:rsidR="00F8203C">
        <w:rPr>
          <w:rFonts w:ascii="Bookman Old Style" w:hAnsi="Bookman Old Style" w:cs="Arial"/>
        </w:rPr>
        <w:t xml:space="preserve">au lieu de 2 </w:t>
      </w:r>
      <w:r w:rsidR="00457379">
        <w:rPr>
          <w:rFonts w:ascii="Bookman Old Style" w:hAnsi="Bookman Old Style" w:cs="Arial"/>
        </w:rPr>
        <w:t xml:space="preserve">se retrouvent </w:t>
      </w:r>
      <w:r w:rsidR="00F8203C">
        <w:rPr>
          <w:rFonts w:ascii="Bookman Old Style" w:hAnsi="Bookman Old Style" w:cs="Arial"/>
        </w:rPr>
        <w:t xml:space="preserve">au niveau de </w:t>
      </w:r>
      <w:r w:rsidR="00457379">
        <w:rPr>
          <w:rFonts w:ascii="Bookman Old Style" w:hAnsi="Bookman Old Style" w:cs="Arial"/>
        </w:rPr>
        <w:t>ces 3 PDE</w:t>
      </w:r>
      <w:r w:rsidR="00F8203C">
        <w:rPr>
          <w:rFonts w:ascii="Bookman Old Style" w:hAnsi="Bookman Old Style" w:cs="Arial"/>
        </w:rPr>
        <w:t>, ce qui dénote le degré de vulnérabilité des ménages dans les villages objets d’investigation.</w:t>
      </w:r>
      <w:r w:rsidR="00457379">
        <w:rPr>
          <w:rFonts w:ascii="Bookman Old Style" w:hAnsi="Bookman Old Style" w:cs="Arial"/>
        </w:rPr>
        <w:t xml:space="preserve"> </w:t>
      </w:r>
    </w:p>
    <w:p w14:paraId="67AF9522" w14:textId="295B0D82" w:rsidR="00F8203C" w:rsidRDefault="00F8203C" w:rsidP="00FF22CC">
      <w:pPr>
        <w:tabs>
          <w:tab w:val="left" w:pos="4402"/>
        </w:tabs>
        <w:spacing w:before="240" w:line="276" w:lineRule="auto"/>
        <w:jc w:val="both"/>
        <w:rPr>
          <w:rFonts w:ascii="Bookman Old Style" w:hAnsi="Bookman Old Style" w:cs="Arial"/>
        </w:rPr>
      </w:pPr>
      <w:r>
        <w:rPr>
          <w:rFonts w:ascii="Bookman Old Style" w:hAnsi="Bookman Old Style" w:cs="Arial"/>
        </w:rPr>
        <w:t>Par ailleurs, on constate que c’est à Doungou qu’il y a plus de ménage (40%) ayant passé de 2 à 3 repas par jour</w:t>
      </w:r>
      <w:r w:rsidR="00FF22CC">
        <w:rPr>
          <w:rFonts w:ascii="Bookman Old Style" w:hAnsi="Bookman Old Style" w:cs="Arial"/>
        </w:rPr>
        <w:t xml:space="preserve">, suivi de Bandé, </w:t>
      </w:r>
      <w:proofErr w:type="spellStart"/>
      <w:r w:rsidR="00FF22CC">
        <w:rPr>
          <w:rFonts w:ascii="Bookman Old Style" w:hAnsi="Bookman Old Style" w:cs="Arial"/>
        </w:rPr>
        <w:t>Badaguichiri</w:t>
      </w:r>
      <w:proofErr w:type="spellEnd"/>
      <w:r w:rsidR="00FF22CC">
        <w:rPr>
          <w:rFonts w:ascii="Bookman Old Style" w:hAnsi="Bookman Old Style" w:cs="Arial"/>
        </w:rPr>
        <w:t xml:space="preserve"> et Tessaoua avec chacun 13%.</w:t>
      </w:r>
      <w:r w:rsidR="00410B66">
        <w:rPr>
          <w:rFonts w:ascii="Bookman Old Style" w:hAnsi="Bookman Old Style" w:cs="Arial"/>
        </w:rPr>
        <w:t xml:space="preserve"> On note aucun passage de 1 à 3 repas par jour à Tounfafi et Karofane malgré la quantité élevée des vivres distribués par bénéficiaire 46 et 56 </w:t>
      </w:r>
      <w:proofErr w:type="spellStart"/>
      <w:r w:rsidR="00410B66">
        <w:rPr>
          <w:rFonts w:ascii="Bookman Old Style" w:hAnsi="Bookman Old Style" w:cs="Arial"/>
        </w:rPr>
        <w:t>tias</w:t>
      </w:r>
      <w:proofErr w:type="spellEnd"/>
      <w:r w:rsidR="00410B66">
        <w:rPr>
          <w:rFonts w:ascii="Bookman Old Style" w:hAnsi="Bookman Old Style" w:cs="Arial"/>
        </w:rPr>
        <w:t xml:space="preserve"> respectivement. Peut-on mettre en avant le </w:t>
      </w:r>
      <w:r w:rsidR="009D4763">
        <w:rPr>
          <w:rFonts w:ascii="Bookman Old Style" w:hAnsi="Bookman Old Style" w:cs="Arial"/>
        </w:rPr>
        <w:t>niveau</w:t>
      </w:r>
      <w:r w:rsidR="00410B66">
        <w:rPr>
          <w:rFonts w:ascii="Bookman Old Style" w:hAnsi="Bookman Old Style" w:cs="Arial"/>
        </w:rPr>
        <w:t xml:space="preserve"> de vulnérabilité des ménages </w:t>
      </w:r>
      <w:r w:rsidR="009D4763">
        <w:rPr>
          <w:rFonts w:ascii="Bookman Old Style" w:hAnsi="Bookman Old Style" w:cs="Arial"/>
        </w:rPr>
        <w:t>malgré le fort potentiel en irrigation dans ces deux PDE ? Est-il en lien avec la culture ou pratique alimentaire des ménages ?</w:t>
      </w:r>
    </w:p>
    <w:p w14:paraId="168E5B9C" w14:textId="77777777" w:rsidR="003F6396" w:rsidRDefault="003F6396" w:rsidP="00807B10"/>
    <w:p w14:paraId="6E5D2E62" w14:textId="77777777" w:rsidR="003F6396" w:rsidRDefault="003F6396" w:rsidP="007B5322">
      <w:pPr>
        <w:jc w:val="center"/>
      </w:pPr>
      <w:r>
        <w:rPr>
          <w:noProof/>
        </w:rPr>
        <w:drawing>
          <wp:inline distT="0" distB="0" distL="0" distR="0" wp14:anchorId="707D99C1" wp14:editId="09C79D20">
            <wp:extent cx="5372100" cy="3162300"/>
            <wp:effectExtent l="0" t="0" r="0" b="0"/>
            <wp:docPr id="51" name="Graphique 51">
              <a:extLst xmlns:a="http://schemas.openxmlformats.org/drawingml/2006/main">
                <a:ext uri="{FF2B5EF4-FFF2-40B4-BE49-F238E27FC236}">
                  <a16:creationId xmlns:a16="http://schemas.microsoft.com/office/drawing/2014/main" id="{0F933BC1-0E1E-4CFA-B129-A9096ECE4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9C0BC1" w14:textId="55CB491A" w:rsidR="00CA349D" w:rsidRDefault="003D37B5" w:rsidP="00B4164B">
      <w:pPr>
        <w:pStyle w:val="Lgende"/>
      </w:pPr>
      <w:r>
        <w:t xml:space="preserve">      </w:t>
      </w:r>
      <w:bookmarkStart w:id="71" w:name="_Toc97823240"/>
      <w:r w:rsidR="002840BC">
        <w:t xml:space="preserve">Figure </w:t>
      </w:r>
      <w:fldSimple w:instr=" SEQ Figure \* ARABIC ">
        <w:r w:rsidR="004F4E33">
          <w:rPr>
            <w:noProof/>
          </w:rPr>
          <w:t>27</w:t>
        </w:r>
      </w:fldSimple>
      <w:r w:rsidR="002840BC">
        <w:t> : A</w:t>
      </w:r>
      <w:r w:rsidR="002840BC" w:rsidRPr="002840BC">
        <w:t>ugmentation de nombre de repas par jour et par Région</w:t>
      </w:r>
      <w:bookmarkEnd w:id="71"/>
    </w:p>
    <w:p w14:paraId="699A45BD" w14:textId="585496ED" w:rsidR="003F6396" w:rsidRPr="001310BC" w:rsidRDefault="003F6396" w:rsidP="007739CB">
      <w:pPr>
        <w:pStyle w:val="Titre3"/>
        <w:numPr>
          <w:ilvl w:val="2"/>
          <w:numId w:val="3"/>
        </w:numPr>
        <w:rPr>
          <w:rFonts w:ascii="Bookman Old Style" w:hAnsi="Bookman Old Style" w:cs="Arial"/>
          <w:i/>
          <w:iCs/>
        </w:rPr>
      </w:pPr>
      <w:bookmarkStart w:id="72" w:name="_Toc97822369"/>
      <w:r w:rsidRPr="001310BC">
        <w:rPr>
          <w:rFonts w:ascii="Bookman Old Style" w:hAnsi="Bookman Old Style" w:cs="Arial"/>
          <w:i/>
          <w:iCs/>
        </w:rPr>
        <w:t>Recours au crédit</w:t>
      </w:r>
      <w:bookmarkEnd w:id="72"/>
    </w:p>
    <w:p w14:paraId="5E72460A" w14:textId="59810739" w:rsidR="003F6396" w:rsidRPr="007B5322" w:rsidRDefault="006E12CE" w:rsidP="007B5322">
      <w:pPr>
        <w:spacing w:before="240" w:line="276" w:lineRule="auto"/>
        <w:jc w:val="both"/>
        <w:rPr>
          <w:rFonts w:ascii="Bookman Old Style" w:hAnsi="Bookman Old Style"/>
        </w:rPr>
      </w:pPr>
      <w:r w:rsidRPr="007B5322">
        <w:rPr>
          <w:rFonts w:ascii="Bookman Old Style" w:hAnsi="Bookman Old Style"/>
        </w:rPr>
        <w:t xml:space="preserve">Quoique indispensable à certain moment </w:t>
      </w:r>
      <w:r w:rsidR="004D57AE" w:rsidRPr="007B5322">
        <w:rPr>
          <w:rFonts w:ascii="Bookman Old Style" w:hAnsi="Bookman Old Style"/>
        </w:rPr>
        <w:t xml:space="preserve">(période de soudure) </w:t>
      </w:r>
      <w:r w:rsidRPr="007B5322">
        <w:rPr>
          <w:rFonts w:ascii="Bookman Old Style" w:hAnsi="Bookman Old Style"/>
        </w:rPr>
        <w:t xml:space="preserve">pour les ménages ruraux </w:t>
      </w:r>
      <w:r w:rsidR="004D57AE" w:rsidRPr="007B5322">
        <w:rPr>
          <w:rFonts w:ascii="Bookman Old Style" w:hAnsi="Bookman Old Style"/>
        </w:rPr>
        <w:t xml:space="preserve">vulnérables </w:t>
      </w:r>
      <w:r w:rsidRPr="007B5322">
        <w:rPr>
          <w:rFonts w:ascii="Bookman Old Style" w:hAnsi="Bookman Old Style"/>
        </w:rPr>
        <w:t xml:space="preserve">au regard entre autres de la baisse de fertilité des sols dont le </w:t>
      </w:r>
      <w:r w:rsidR="00D561F0" w:rsidRPr="007B5322">
        <w:rPr>
          <w:rFonts w:ascii="Bookman Old Style" w:hAnsi="Bookman Old Style"/>
        </w:rPr>
        <w:t>corollaire</w:t>
      </w:r>
      <w:r w:rsidRPr="007B5322">
        <w:rPr>
          <w:rFonts w:ascii="Bookman Old Style" w:hAnsi="Bookman Old Style"/>
        </w:rPr>
        <w:t xml:space="preserve"> est </w:t>
      </w:r>
      <w:r w:rsidR="00D561F0" w:rsidRPr="007B5322">
        <w:rPr>
          <w:rFonts w:ascii="Bookman Old Style" w:hAnsi="Bookman Old Style"/>
        </w:rPr>
        <w:t xml:space="preserve">la baisse </w:t>
      </w:r>
      <w:r w:rsidRPr="007B5322">
        <w:rPr>
          <w:rFonts w:ascii="Bookman Old Style" w:hAnsi="Bookman Old Style"/>
        </w:rPr>
        <w:t>de rendement</w:t>
      </w:r>
      <w:r w:rsidR="00D561F0" w:rsidRPr="007B5322">
        <w:rPr>
          <w:rFonts w:ascii="Bookman Old Style" w:hAnsi="Bookman Old Style"/>
        </w:rPr>
        <w:t xml:space="preserve"> et</w:t>
      </w:r>
      <w:r w:rsidRPr="007B5322">
        <w:rPr>
          <w:rFonts w:ascii="Bookman Old Style" w:hAnsi="Bookman Old Style"/>
        </w:rPr>
        <w:t xml:space="preserve"> </w:t>
      </w:r>
      <w:r w:rsidR="00D561F0" w:rsidRPr="007B5322">
        <w:rPr>
          <w:rFonts w:ascii="Bookman Old Style" w:hAnsi="Bookman Old Style"/>
        </w:rPr>
        <w:t>l’installation d’une</w:t>
      </w:r>
      <w:r w:rsidRPr="007B5322">
        <w:rPr>
          <w:rFonts w:ascii="Bookman Old Style" w:hAnsi="Bookman Old Style"/>
        </w:rPr>
        <w:t xml:space="preserve"> vulnérabilité structurelle des ménages ruraux</w:t>
      </w:r>
      <w:r w:rsidR="00D561F0" w:rsidRPr="007B5322">
        <w:rPr>
          <w:rFonts w:ascii="Bookman Old Style" w:hAnsi="Bookman Old Style"/>
        </w:rPr>
        <w:t xml:space="preserve"> ; le recours au crédit en espèces tout comme en nature compromet le relèvement des ménages ruraux. En effet, le remboursement est </w:t>
      </w:r>
      <w:r w:rsidR="004D57AE" w:rsidRPr="007B5322">
        <w:rPr>
          <w:rFonts w:ascii="Bookman Old Style" w:hAnsi="Bookman Old Style"/>
        </w:rPr>
        <w:t>repos</w:t>
      </w:r>
      <w:r w:rsidR="00A67B37">
        <w:rPr>
          <w:rFonts w:ascii="Bookman Old Style" w:hAnsi="Bookman Old Style"/>
        </w:rPr>
        <w:t>é</w:t>
      </w:r>
      <w:r w:rsidR="004D57AE" w:rsidRPr="007B5322">
        <w:rPr>
          <w:rFonts w:ascii="Bookman Old Style" w:hAnsi="Bookman Old Style"/>
        </w:rPr>
        <w:t xml:space="preserve"> sur les résultats de</w:t>
      </w:r>
      <w:r w:rsidR="00D561F0" w:rsidRPr="007B5322">
        <w:rPr>
          <w:rFonts w:ascii="Bookman Old Style" w:hAnsi="Bookman Old Style"/>
        </w:rPr>
        <w:t xml:space="preserve"> la campagne agricole, qui elle-même est aléatoire. </w:t>
      </w:r>
      <w:r w:rsidR="004D57AE" w:rsidRPr="007B5322">
        <w:rPr>
          <w:rFonts w:ascii="Bookman Old Style" w:hAnsi="Bookman Old Style"/>
        </w:rPr>
        <w:t>En période soudure, le crédit est contracté généralement pour subvenir aux besoins alimentaires, bien qu’il y ait d’autres tels que les soins de santé, les intrants agricoles, etc.</w:t>
      </w:r>
    </w:p>
    <w:p w14:paraId="6CE71FF0" w14:textId="10F2DD8D" w:rsidR="003C2818" w:rsidRDefault="004D57AE" w:rsidP="007B5322">
      <w:pPr>
        <w:spacing w:before="240" w:line="276" w:lineRule="auto"/>
        <w:jc w:val="both"/>
        <w:rPr>
          <w:rFonts w:ascii="Bookman Old Style" w:hAnsi="Bookman Old Style"/>
        </w:rPr>
      </w:pPr>
      <w:r w:rsidRPr="007B5322">
        <w:rPr>
          <w:rFonts w:ascii="Bookman Old Style" w:hAnsi="Bookman Old Style"/>
        </w:rPr>
        <w:t xml:space="preserve">Le GFS est censé répondre en partie à ce </w:t>
      </w:r>
      <w:r w:rsidR="00BA3EE6" w:rsidRPr="007B5322">
        <w:rPr>
          <w:rFonts w:ascii="Bookman Old Style" w:hAnsi="Bookman Old Style"/>
        </w:rPr>
        <w:t xml:space="preserve">problème de recours au crédit par la mise à disposition des vivres aux ménages ruraux en période critique qu’est </w:t>
      </w:r>
      <w:r w:rsidR="00BA3EE6" w:rsidRPr="007B5322">
        <w:rPr>
          <w:rFonts w:ascii="Bookman Old Style" w:hAnsi="Bookman Old Style"/>
        </w:rPr>
        <w:lastRenderedPageBreak/>
        <w:t xml:space="preserve">la soudure où les stocks alimentaires sont généralement épuisés. </w:t>
      </w:r>
      <w:r w:rsidR="00867C1F" w:rsidRPr="007B5322">
        <w:rPr>
          <w:rFonts w:ascii="Bookman Old Style" w:hAnsi="Bookman Old Style"/>
        </w:rPr>
        <w:t xml:space="preserve">Ainsi, le </w:t>
      </w:r>
      <w:r w:rsidR="00B91700">
        <w:rPr>
          <w:rFonts w:ascii="Bookman Old Style" w:hAnsi="Bookman Old Style"/>
        </w:rPr>
        <w:t>figure</w:t>
      </w:r>
      <w:r w:rsidR="00867C1F" w:rsidRPr="007B5322">
        <w:rPr>
          <w:rFonts w:ascii="Bookman Old Style" w:hAnsi="Bookman Old Style"/>
        </w:rPr>
        <w:t xml:space="preserve"> ci-après nous informe effectivement que le GFS contribue à la réduction de recours au crédit en milieu rural. Cette réduction est plus considérable à Maradi où 54% des enquêtées </w:t>
      </w:r>
      <w:r w:rsidR="00493FBF" w:rsidRPr="007B5322">
        <w:rPr>
          <w:rFonts w:ascii="Bookman Old Style" w:hAnsi="Bookman Old Style"/>
        </w:rPr>
        <w:t>l’affirment contre 20% et 26% respectivement à Tahoua et Zinder.</w:t>
      </w:r>
    </w:p>
    <w:p w14:paraId="0A151703" w14:textId="0A90B7C8" w:rsidR="004D57AE" w:rsidRPr="007B5322" w:rsidRDefault="00867C1F" w:rsidP="00B91700">
      <w:pPr>
        <w:spacing w:line="276" w:lineRule="auto"/>
        <w:jc w:val="both"/>
        <w:rPr>
          <w:rFonts w:ascii="Bookman Old Style" w:hAnsi="Bookman Old Style"/>
        </w:rPr>
      </w:pPr>
      <w:r w:rsidRPr="007B5322">
        <w:rPr>
          <w:rFonts w:ascii="Bookman Old Style" w:hAnsi="Bookman Old Style"/>
        </w:rPr>
        <w:t xml:space="preserve"> </w:t>
      </w:r>
    </w:p>
    <w:p w14:paraId="448F5969" w14:textId="426C110C" w:rsidR="00BA3EE6" w:rsidRDefault="00BA3EE6" w:rsidP="007B5322">
      <w:pPr>
        <w:jc w:val="center"/>
      </w:pPr>
      <w:r>
        <w:rPr>
          <w:noProof/>
        </w:rPr>
        <w:drawing>
          <wp:inline distT="0" distB="0" distL="0" distR="0" wp14:anchorId="46D6E149" wp14:editId="3C8D84E3">
            <wp:extent cx="4564380" cy="2297430"/>
            <wp:effectExtent l="0" t="0" r="7620" b="7620"/>
            <wp:docPr id="16" name="Graphique 16">
              <a:extLst xmlns:a="http://schemas.openxmlformats.org/drawingml/2006/main">
                <a:ext uri="{FF2B5EF4-FFF2-40B4-BE49-F238E27FC236}">
                  <a16:creationId xmlns:a16="http://schemas.microsoft.com/office/drawing/2014/main" id="{354AC8B3-97A7-4661-8D1F-27F567806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C986A1" w14:textId="0A674F39" w:rsidR="002840BC" w:rsidRDefault="003D37B5" w:rsidP="00B4164B">
      <w:pPr>
        <w:pStyle w:val="Lgende"/>
      </w:pPr>
      <w:r>
        <w:t xml:space="preserve">                    </w:t>
      </w:r>
      <w:bookmarkStart w:id="73" w:name="_Toc97823241"/>
      <w:r w:rsidR="002840BC">
        <w:t xml:space="preserve">Figure </w:t>
      </w:r>
      <w:fldSimple w:instr=" SEQ Figure \* ARABIC ">
        <w:r w:rsidR="004F4E33">
          <w:rPr>
            <w:noProof/>
          </w:rPr>
          <w:t>28</w:t>
        </w:r>
      </w:fldSimple>
      <w:r w:rsidR="002840BC">
        <w:t> : Réduction de recours au crédit par Région</w:t>
      </w:r>
      <w:bookmarkEnd w:id="73"/>
    </w:p>
    <w:p w14:paraId="3BCDB67E" w14:textId="45FEFE4F" w:rsidR="007B5322" w:rsidRPr="007B5322" w:rsidRDefault="00E32B3F" w:rsidP="007B5322">
      <w:pPr>
        <w:spacing w:before="240" w:line="276" w:lineRule="auto"/>
        <w:jc w:val="both"/>
        <w:rPr>
          <w:rFonts w:ascii="Bookman Old Style" w:hAnsi="Bookman Old Style"/>
        </w:rPr>
      </w:pPr>
      <w:r w:rsidRPr="007B5322">
        <w:rPr>
          <w:rFonts w:ascii="Bookman Old Style" w:hAnsi="Bookman Old Style"/>
        </w:rPr>
        <w:t>Selon les PDE, l</w:t>
      </w:r>
      <w:r w:rsidR="006777A5" w:rsidRPr="007B5322">
        <w:rPr>
          <w:rFonts w:ascii="Bookman Old Style" w:hAnsi="Bookman Old Style"/>
        </w:rPr>
        <w:t>e GFS a eu plus d’impact sur l</w:t>
      </w:r>
      <w:r w:rsidRPr="007B5322">
        <w:rPr>
          <w:rFonts w:ascii="Bookman Old Style" w:hAnsi="Bookman Old Style"/>
        </w:rPr>
        <w:t>a réduction de recours au crédit</w:t>
      </w:r>
      <w:r w:rsidR="006777A5" w:rsidRPr="007B5322">
        <w:rPr>
          <w:rFonts w:ascii="Bookman Old Style" w:hAnsi="Bookman Old Style"/>
        </w:rPr>
        <w:t xml:space="preserve"> au niveau de Tessaoua (36%) suivi de </w:t>
      </w:r>
      <w:proofErr w:type="spellStart"/>
      <w:r w:rsidR="006777A5" w:rsidRPr="007B5322">
        <w:rPr>
          <w:rFonts w:ascii="Bookman Old Style" w:hAnsi="Bookman Old Style"/>
        </w:rPr>
        <w:t>Guidan</w:t>
      </w:r>
      <w:proofErr w:type="spellEnd"/>
      <w:r w:rsidR="006777A5" w:rsidRPr="007B5322">
        <w:rPr>
          <w:rFonts w:ascii="Bookman Old Style" w:hAnsi="Bookman Old Style"/>
        </w:rPr>
        <w:t xml:space="preserve"> </w:t>
      </w:r>
      <w:proofErr w:type="spellStart"/>
      <w:r w:rsidR="006777A5" w:rsidRPr="007B5322">
        <w:rPr>
          <w:rFonts w:ascii="Bookman Old Style" w:hAnsi="Bookman Old Style"/>
        </w:rPr>
        <w:t>Roumdji</w:t>
      </w:r>
      <w:proofErr w:type="spellEnd"/>
      <w:r w:rsidR="006777A5" w:rsidRPr="007B5322">
        <w:rPr>
          <w:rFonts w:ascii="Bookman Old Style" w:hAnsi="Bookman Old Style"/>
        </w:rPr>
        <w:t xml:space="preserve"> (18%) et Doungou (14%). Cette situation peut s’expliqu</w:t>
      </w:r>
      <w:r w:rsidR="00A67B37">
        <w:rPr>
          <w:rFonts w:ascii="Bookman Old Style" w:hAnsi="Bookman Old Style"/>
        </w:rPr>
        <w:t>er</w:t>
      </w:r>
      <w:r w:rsidR="006777A5" w:rsidRPr="007B5322">
        <w:rPr>
          <w:rFonts w:ascii="Bookman Old Style" w:hAnsi="Bookman Old Style"/>
        </w:rPr>
        <w:t xml:space="preserve"> entre autres par le fait que Tessaoua et </w:t>
      </w:r>
      <w:proofErr w:type="spellStart"/>
      <w:r w:rsidR="006777A5" w:rsidRPr="007B5322">
        <w:rPr>
          <w:rFonts w:ascii="Bookman Old Style" w:hAnsi="Bookman Old Style"/>
        </w:rPr>
        <w:t>Guidan</w:t>
      </w:r>
      <w:proofErr w:type="spellEnd"/>
      <w:r w:rsidR="006777A5" w:rsidRPr="007B5322">
        <w:rPr>
          <w:rFonts w:ascii="Bookman Old Style" w:hAnsi="Bookman Old Style"/>
        </w:rPr>
        <w:t xml:space="preserve"> </w:t>
      </w:r>
      <w:proofErr w:type="spellStart"/>
      <w:r w:rsidR="006777A5" w:rsidRPr="007B5322">
        <w:rPr>
          <w:rFonts w:ascii="Bookman Old Style" w:hAnsi="Bookman Old Style"/>
        </w:rPr>
        <w:t>Roumdji</w:t>
      </w:r>
      <w:proofErr w:type="spellEnd"/>
      <w:r w:rsidR="006777A5" w:rsidRPr="007B5322">
        <w:rPr>
          <w:rFonts w:ascii="Bookman Old Style" w:hAnsi="Bookman Old Style"/>
        </w:rPr>
        <w:t xml:space="preserve"> </w:t>
      </w:r>
      <w:r w:rsidR="00C27980" w:rsidRPr="007B5322">
        <w:rPr>
          <w:rFonts w:ascii="Bookman Old Style" w:hAnsi="Bookman Old Style"/>
        </w:rPr>
        <w:t xml:space="preserve">étaient de PDE d’intervention du PASADEM et de PPILDA (qui a initié le GFS) et </w:t>
      </w:r>
      <w:r w:rsidR="006777A5" w:rsidRPr="007B5322">
        <w:rPr>
          <w:rFonts w:ascii="Bookman Old Style" w:hAnsi="Bookman Old Style"/>
        </w:rPr>
        <w:t>avaient bénéficié de</w:t>
      </w:r>
      <w:r w:rsidR="00C27980" w:rsidRPr="007B5322">
        <w:rPr>
          <w:rFonts w:ascii="Bookman Old Style" w:hAnsi="Bookman Old Style"/>
        </w:rPr>
        <w:t xml:space="preserve">s beaucoup d’appuis en production pluviale contrairement aux PDE des régions de Zinder et Tahoua </w:t>
      </w:r>
      <w:r w:rsidR="00E4393E" w:rsidRPr="007B5322">
        <w:rPr>
          <w:rFonts w:ascii="Bookman Old Style" w:hAnsi="Bookman Old Style"/>
        </w:rPr>
        <w:t>qui étaient sous l’appui de PPI Ruwanmu, un projet de petite irrigation et dont la production irriguée est essentiellement orientée vers le marché et demande beaucoup plus d’investissement que la production pluviale. A cet effet, les ménages pouvaient toujours faire recours au crédit pour la « production irriguée » en saison pluvieuse.</w:t>
      </w:r>
    </w:p>
    <w:p w14:paraId="4581E795" w14:textId="13E10D73" w:rsidR="006777A5" w:rsidRPr="007B5322" w:rsidRDefault="00E4393E" w:rsidP="007B5322">
      <w:pPr>
        <w:spacing w:before="240" w:line="276" w:lineRule="auto"/>
        <w:jc w:val="both"/>
        <w:rPr>
          <w:rFonts w:ascii="Bookman Old Style" w:hAnsi="Bookman Old Style"/>
        </w:rPr>
      </w:pPr>
      <w:r w:rsidRPr="007B5322">
        <w:rPr>
          <w:rFonts w:ascii="Bookman Old Style" w:hAnsi="Bookman Old Style"/>
        </w:rPr>
        <w:t xml:space="preserve"> </w:t>
      </w:r>
    </w:p>
    <w:p w14:paraId="08A211F9" w14:textId="7274386C" w:rsidR="00E32B3F" w:rsidRDefault="00E32B3F" w:rsidP="007B5322">
      <w:pPr>
        <w:jc w:val="center"/>
      </w:pPr>
      <w:r>
        <w:rPr>
          <w:noProof/>
        </w:rPr>
        <w:lastRenderedPageBreak/>
        <w:drawing>
          <wp:inline distT="0" distB="0" distL="0" distR="0" wp14:anchorId="6FA57C0C" wp14:editId="3A94B918">
            <wp:extent cx="4945380" cy="2941320"/>
            <wp:effectExtent l="0" t="0" r="7620" b="11430"/>
            <wp:docPr id="17" name="Graphique 17">
              <a:extLst xmlns:a="http://schemas.openxmlformats.org/drawingml/2006/main">
                <a:ext uri="{FF2B5EF4-FFF2-40B4-BE49-F238E27FC236}">
                  <a16:creationId xmlns:a16="http://schemas.microsoft.com/office/drawing/2014/main" id="{354AC8B3-97A7-4661-8D1F-27F567806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C08B44" w14:textId="506E4166" w:rsidR="00E32B3F" w:rsidRDefault="003D37B5" w:rsidP="00B4164B">
      <w:pPr>
        <w:pStyle w:val="Lgende"/>
      </w:pPr>
      <w:r>
        <w:t xml:space="preserve">             </w:t>
      </w:r>
      <w:bookmarkStart w:id="74" w:name="_Toc97823242"/>
      <w:r w:rsidR="002840BC">
        <w:t xml:space="preserve">Figure </w:t>
      </w:r>
      <w:fldSimple w:instr=" SEQ Figure \* ARABIC ">
        <w:r w:rsidR="004F4E33">
          <w:rPr>
            <w:noProof/>
          </w:rPr>
          <w:t>29</w:t>
        </w:r>
      </w:fldSimple>
      <w:r w:rsidR="002840BC">
        <w:t xml:space="preserve"> : </w:t>
      </w:r>
      <w:r w:rsidR="002840BC" w:rsidRPr="002840BC">
        <w:t xml:space="preserve">Réduction de recours au crédit par </w:t>
      </w:r>
      <w:r w:rsidR="002840BC">
        <w:t>PDE</w:t>
      </w:r>
      <w:bookmarkEnd w:id="74"/>
    </w:p>
    <w:p w14:paraId="5E756D6E" w14:textId="5966367D" w:rsidR="009D05EE" w:rsidRPr="003D0B1F" w:rsidRDefault="00F86E1B" w:rsidP="00CC71A8">
      <w:pPr>
        <w:pStyle w:val="Paragraphedeliste"/>
        <w:numPr>
          <w:ilvl w:val="1"/>
          <w:numId w:val="3"/>
        </w:numPr>
        <w:tabs>
          <w:tab w:val="left" w:pos="4402"/>
        </w:tabs>
        <w:spacing w:line="276" w:lineRule="auto"/>
        <w:outlineLvl w:val="1"/>
        <w:rPr>
          <w:rFonts w:ascii="Bookman Old Style" w:hAnsi="Bookman Old Style" w:cs="Arial"/>
          <w:b/>
          <w:bCs/>
          <w:highlight w:val="yellow"/>
        </w:rPr>
      </w:pPr>
      <w:bookmarkStart w:id="75" w:name="_Toc97822370"/>
      <w:r w:rsidRPr="003D0B1F">
        <w:rPr>
          <w:rFonts w:ascii="Bookman Old Style" w:hAnsi="Bookman Old Style" w:cs="Arial"/>
          <w:b/>
          <w:bCs/>
          <w:highlight w:val="yellow"/>
        </w:rPr>
        <w:t>Comités de gestion (</w:t>
      </w:r>
      <w:r w:rsidR="009D05EE" w:rsidRPr="003D0B1F">
        <w:rPr>
          <w:rFonts w:ascii="Bookman Old Style" w:hAnsi="Bookman Old Style" w:cs="Arial"/>
          <w:b/>
          <w:bCs/>
          <w:highlight w:val="yellow"/>
        </w:rPr>
        <w:t>COGES</w:t>
      </w:r>
      <w:r w:rsidRPr="003D0B1F">
        <w:rPr>
          <w:rFonts w:ascii="Bookman Old Style" w:hAnsi="Bookman Old Style" w:cs="Arial"/>
          <w:b/>
          <w:bCs/>
          <w:highlight w:val="yellow"/>
        </w:rPr>
        <w:t>)</w:t>
      </w:r>
      <w:r w:rsidR="009D05EE" w:rsidRPr="003D0B1F">
        <w:rPr>
          <w:rFonts w:ascii="Bookman Old Style" w:hAnsi="Bookman Old Style" w:cs="Arial"/>
          <w:b/>
          <w:bCs/>
          <w:highlight w:val="yellow"/>
        </w:rPr>
        <w:t xml:space="preserve"> </w:t>
      </w:r>
      <w:r w:rsidRPr="003D0B1F">
        <w:rPr>
          <w:rFonts w:ascii="Bookman Old Style" w:hAnsi="Bookman Old Style" w:cs="Arial"/>
          <w:b/>
          <w:bCs/>
          <w:highlight w:val="yellow"/>
        </w:rPr>
        <w:t>des GFS</w:t>
      </w:r>
      <w:bookmarkEnd w:id="75"/>
    </w:p>
    <w:p w14:paraId="0E824814" w14:textId="6300B659" w:rsidR="00F61B5D" w:rsidRDefault="00F86E1B" w:rsidP="00F86E1B">
      <w:pPr>
        <w:tabs>
          <w:tab w:val="left" w:pos="4402"/>
        </w:tabs>
        <w:spacing w:before="240" w:line="276" w:lineRule="auto"/>
        <w:jc w:val="both"/>
        <w:rPr>
          <w:rFonts w:ascii="Bookman Old Style" w:hAnsi="Bookman Old Style" w:cs="Arial"/>
        </w:rPr>
      </w:pPr>
      <w:r>
        <w:rPr>
          <w:rFonts w:ascii="Bookman Old Style" w:hAnsi="Bookman Old Style" w:cs="Arial"/>
        </w:rPr>
        <w:t>Tous les GFS ont de comités de gestion</w:t>
      </w:r>
      <w:r w:rsidR="00E0403C">
        <w:rPr>
          <w:rFonts w:ascii="Bookman Old Style" w:hAnsi="Bookman Old Style" w:cs="Arial"/>
        </w:rPr>
        <w:t xml:space="preserve"> qui sont chargés de l’opérationnalisation et du fonctionnement de magasin. Les groupements MMD de village sont mis en réseau et un bureau est mis en place. C’est ce bureau qui joue le rôle de comité de gestion de GFS au niveau des villages.</w:t>
      </w:r>
      <w:r w:rsidR="00A143C5">
        <w:rPr>
          <w:rFonts w:ascii="Bookman Old Style" w:hAnsi="Bookman Old Style" w:cs="Arial"/>
        </w:rPr>
        <w:t xml:space="preserve"> Les membres de comité ou bureau de réseau sont formés sur diverses thématiques en lien avec la gestion de GFS et dotés en petit matériel et équipement de travail. </w:t>
      </w:r>
    </w:p>
    <w:p w14:paraId="07A183F8" w14:textId="054C5645" w:rsidR="00F61B5D" w:rsidRPr="001310BC" w:rsidRDefault="009536DE" w:rsidP="0005354B">
      <w:pPr>
        <w:pStyle w:val="Titre3"/>
        <w:numPr>
          <w:ilvl w:val="2"/>
          <w:numId w:val="3"/>
        </w:numPr>
        <w:rPr>
          <w:rFonts w:ascii="Bookman Old Style" w:hAnsi="Bookman Old Style" w:cs="Arial"/>
          <w:i/>
          <w:iCs/>
        </w:rPr>
      </w:pPr>
      <w:bookmarkStart w:id="76" w:name="_Toc97822371"/>
      <w:r w:rsidRPr="001310BC">
        <w:rPr>
          <w:rFonts w:ascii="Bookman Old Style" w:hAnsi="Bookman Old Style" w:cs="Arial"/>
          <w:i/>
          <w:iCs/>
        </w:rPr>
        <w:t>Tenue de réunion</w:t>
      </w:r>
      <w:bookmarkEnd w:id="76"/>
    </w:p>
    <w:p w14:paraId="44C5E023" w14:textId="640F01F4" w:rsidR="00F86E1B" w:rsidRDefault="00A143C5" w:rsidP="00A143C5">
      <w:pPr>
        <w:tabs>
          <w:tab w:val="left" w:pos="4402"/>
        </w:tabs>
        <w:spacing w:before="240" w:line="276" w:lineRule="auto"/>
        <w:jc w:val="both"/>
        <w:rPr>
          <w:rFonts w:ascii="Bookman Old Style" w:hAnsi="Bookman Old Style" w:cs="Arial"/>
        </w:rPr>
      </w:pPr>
      <w:r w:rsidRPr="00E601FD">
        <w:rPr>
          <w:rFonts w:ascii="Bookman Old Style" w:hAnsi="Bookman Old Style" w:cs="Arial"/>
        </w:rPr>
        <w:t xml:space="preserve">La </w:t>
      </w:r>
      <w:r>
        <w:rPr>
          <w:rFonts w:ascii="Bookman Old Style" w:hAnsi="Bookman Old Style" w:cs="Arial"/>
        </w:rPr>
        <w:t>tenue de réunion du comité de gestion ou bureau de réseau est primordiale dans la gestion de GFS. C’est occasion à laquelle toutes les membres du comité de gestion échangent et discutent sur la conduite à tenir au regard de la responsabilité</w:t>
      </w:r>
      <w:r w:rsidR="00E601FD">
        <w:rPr>
          <w:rFonts w:ascii="Bookman Old Style" w:hAnsi="Bookman Old Style" w:cs="Arial"/>
        </w:rPr>
        <w:t xml:space="preserve"> du bon fonctionnement de GFS qui leur a été confiée. La tenue de réunion permet aussi aux membres du bureau de réseau d’être au même niveau d’information et capable de suppléer l’absence d’une de leurs.</w:t>
      </w:r>
    </w:p>
    <w:p w14:paraId="2ECAE1A2" w14:textId="47A8F36B" w:rsidR="00E601FD" w:rsidRPr="00E601FD" w:rsidRDefault="00E601FD" w:rsidP="00E601FD">
      <w:pPr>
        <w:tabs>
          <w:tab w:val="left" w:pos="4402"/>
        </w:tabs>
        <w:spacing w:before="240" w:line="276" w:lineRule="auto"/>
        <w:jc w:val="both"/>
        <w:rPr>
          <w:rFonts w:ascii="Bookman Old Style" w:hAnsi="Bookman Old Style" w:cs="Arial"/>
        </w:rPr>
      </w:pPr>
      <w:r>
        <w:rPr>
          <w:rFonts w:ascii="Bookman Old Style" w:hAnsi="Bookman Old Style" w:cs="Arial"/>
        </w:rPr>
        <w:t>Dans tous les villages GFS objets d’enquête, les COGES tiennent de réunion sur le GFS à diverses fréquences. Ainsi, les réunions mensuelles sont les plus fréquentes (46%)</w:t>
      </w:r>
      <w:r w:rsidR="00B60029">
        <w:rPr>
          <w:rFonts w:ascii="Bookman Old Style" w:hAnsi="Bookman Old Style" w:cs="Arial"/>
        </w:rPr>
        <w:t xml:space="preserve"> suivies de celles tenues de façon bimestrielle avec 25%. Les rencontres mensuelles sont plus tenues à Zinder suivi de Maradi</w:t>
      </w:r>
      <w:r w:rsidR="002C76C2">
        <w:rPr>
          <w:rFonts w:ascii="Bookman Old Style" w:hAnsi="Bookman Old Style" w:cs="Arial"/>
        </w:rPr>
        <w:t xml:space="preserve">. Par contre les réunions annuelles se font plus à Maradi au niveau de Wa </w:t>
      </w:r>
      <w:proofErr w:type="spellStart"/>
      <w:r w:rsidR="002C76C2">
        <w:rPr>
          <w:rFonts w:ascii="Bookman Old Style" w:hAnsi="Bookman Old Style" w:cs="Arial"/>
        </w:rPr>
        <w:t>gona</w:t>
      </w:r>
      <w:proofErr w:type="spellEnd"/>
      <w:r w:rsidR="002C76C2">
        <w:rPr>
          <w:rFonts w:ascii="Bookman Old Style" w:hAnsi="Bookman Old Style" w:cs="Arial"/>
        </w:rPr>
        <w:t xml:space="preserve">, </w:t>
      </w:r>
      <w:proofErr w:type="spellStart"/>
      <w:r w:rsidR="002C76C2">
        <w:rPr>
          <w:rFonts w:ascii="Bookman Old Style" w:hAnsi="Bookman Old Style" w:cs="Arial"/>
        </w:rPr>
        <w:t>Karanguiya</w:t>
      </w:r>
      <w:proofErr w:type="spellEnd"/>
      <w:r w:rsidR="002C76C2">
        <w:rPr>
          <w:rFonts w:ascii="Bookman Old Style" w:hAnsi="Bookman Old Style" w:cs="Arial"/>
        </w:rPr>
        <w:t xml:space="preserve"> (PDE </w:t>
      </w:r>
      <w:proofErr w:type="spellStart"/>
      <w:r w:rsidR="002C76C2">
        <w:rPr>
          <w:rFonts w:ascii="Bookman Old Style" w:hAnsi="Bookman Old Style" w:cs="Arial"/>
        </w:rPr>
        <w:t>Guidan</w:t>
      </w:r>
      <w:proofErr w:type="spellEnd"/>
      <w:r w:rsidR="002C76C2">
        <w:rPr>
          <w:rFonts w:ascii="Bookman Old Style" w:hAnsi="Bookman Old Style" w:cs="Arial"/>
        </w:rPr>
        <w:t xml:space="preserve"> </w:t>
      </w:r>
      <w:proofErr w:type="spellStart"/>
      <w:r w:rsidR="002C76C2">
        <w:rPr>
          <w:rFonts w:ascii="Bookman Old Style" w:hAnsi="Bookman Old Style" w:cs="Arial"/>
        </w:rPr>
        <w:t>Roumdji</w:t>
      </w:r>
      <w:proofErr w:type="spellEnd"/>
      <w:r w:rsidR="002C76C2">
        <w:rPr>
          <w:rFonts w:ascii="Bookman Old Style" w:hAnsi="Bookman Old Style" w:cs="Arial"/>
        </w:rPr>
        <w:t xml:space="preserve">) et </w:t>
      </w:r>
      <w:proofErr w:type="spellStart"/>
      <w:r w:rsidR="002C76C2">
        <w:rPr>
          <w:rFonts w:ascii="Bookman Old Style" w:hAnsi="Bookman Old Style" w:cs="Arial"/>
        </w:rPr>
        <w:t>Gounaka</w:t>
      </w:r>
      <w:proofErr w:type="spellEnd"/>
      <w:r w:rsidR="002C76C2">
        <w:rPr>
          <w:rFonts w:ascii="Bookman Old Style" w:hAnsi="Bookman Old Style" w:cs="Arial"/>
        </w:rPr>
        <w:t xml:space="preserve"> (PDE Tessaoua).</w:t>
      </w:r>
    </w:p>
    <w:p w14:paraId="39A7D325" w14:textId="3B18F011" w:rsidR="009536DE" w:rsidRDefault="009536DE" w:rsidP="00F61B5D">
      <w:pPr>
        <w:tabs>
          <w:tab w:val="left" w:pos="4402"/>
        </w:tabs>
        <w:spacing w:line="276" w:lineRule="auto"/>
        <w:jc w:val="both"/>
        <w:rPr>
          <w:rFonts w:ascii="Bookman Old Style" w:hAnsi="Bookman Old Style" w:cs="Arial"/>
        </w:rPr>
      </w:pPr>
    </w:p>
    <w:p w14:paraId="54DA5D77" w14:textId="6593B5FF" w:rsidR="00A72B8D" w:rsidRDefault="009536DE" w:rsidP="009536DE">
      <w:pPr>
        <w:tabs>
          <w:tab w:val="left" w:pos="4402"/>
        </w:tabs>
        <w:spacing w:line="276" w:lineRule="auto"/>
        <w:jc w:val="center"/>
        <w:rPr>
          <w:rFonts w:ascii="Bookman Old Style" w:hAnsi="Bookman Old Style" w:cs="Arial"/>
        </w:rPr>
      </w:pPr>
      <w:r>
        <w:rPr>
          <w:noProof/>
        </w:rPr>
        <w:lastRenderedPageBreak/>
        <w:drawing>
          <wp:inline distT="0" distB="0" distL="0" distR="0" wp14:anchorId="6EB9E927" wp14:editId="6D325E1F">
            <wp:extent cx="4572000" cy="2655570"/>
            <wp:effectExtent l="0" t="0" r="0" b="11430"/>
            <wp:docPr id="24" name="Graphique 24">
              <a:extLst xmlns:a="http://schemas.openxmlformats.org/drawingml/2006/main">
                <a:ext uri="{FF2B5EF4-FFF2-40B4-BE49-F238E27FC236}">
                  <a16:creationId xmlns:a16="http://schemas.microsoft.com/office/drawing/2014/main" id="{4194D1EE-DF80-4E1B-9088-ADDAEFA9F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0F23AE" w14:textId="42B9DF71" w:rsidR="000E18CE" w:rsidRPr="000E18CE" w:rsidRDefault="003179F0" w:rsidP="003D37B5">
      <w:pPr>
        <w:pStyle w:val="Lgende"/>
        <w:rPr>
          <w:rFonts w:ascii="Bookman Old Style" w:hAnsi="Bookman Old Style" w:cs="Arial"/>
        </w:rPr>
      </w:pPr>
      <w:r>
        <w:rPr>
          <w:rFonts w:ascii="Bookman Old Style" w:hAnsi="Bookman Old Style" w:cs="Arial"/>
        </w:rPr>
        <w:t xml:space="preserve">                </w:t>
      </w:r>
      <w:r w:rsidR="003D37B5">
        <w:rPr>
          <w:rFonts w:ascii="Bookman Old Style" w:hAnsi="Bookman Old Style" w:cs="Arial"/>
        </w:rPr>
        <w:t xml:space="preserve"> </w:t>
      </w:r>
      <w:bookmarkStart w:id="77" w:name="_Toc97823243"/>
      <w:r w:rsidR="002840BC">
        <w:t xml:space="preserve">Figure </w:t>
      </w:r>
      <w:fldSimple w:instr=" SEQ Figure \* ARABIC ">
        <w:r w:rsidR="004F4E33">
          <w:rPr>
            <w:noProof/>
          </w:rPr>
          <w:t>30</w:t>
        </w:r>
      </w:fldSimple>
      <w:r w:rsidR="002840BC">
        <w:t> : Fréquence des réunions de COGES GFS</w:t>
      </w:r>
      <w:bookmarkEnd w:id="77"/>
    </w:p>
    <w:p w14:paraId="673B6BAA" w14:textId="50E41B73" w:rsidR="00A72B8D" w:rsidRDefault="00A72B8D" w:rsidP="00A836B9">
      <w:pPr>
        <w:tabs>
          <w:tab w:val="left" w:pos="4402"/>
        </w:tabs>
        <w:spacing w:line="276" w:lineRule="auto"/>
        <w:jc w:val="center"/>
        <w:rPr>
          <w:rFonts w:ascii="Bookman Old Style" w:hAnsi="Bookman Old Style" w:cs="Arial"/>
        </w:rPr>
      </w:pPr>
    </w:p>
    <w:p w14:paraId="09EB9BAD" w14:textId="334836DE" w:rsidR="004F1AAE" w:rsidRDefault="002C76C2" w:rsidP="00A71382">
      <w:pPr>
        <w:tabs>
          <w:tab w:val="left" w:pos="4402"/>
        </w:tabs>
        <w:spacing w:line="276" w:lineRule="auto"/>
        <w:jc w:val="both"/>
        <w:rPr>
          <w:rFonts w:ascii="Bookman Old Style" w:hAnsi="Bookman Old Style" w:cs="Arial"/>
        </w:rPr>
      </w:pPr>
      <w:r>
        <w:rPr>
          <w:rFonts w:ascii="Bookman Old Style" w:hAnsi="Bookman Old Style" w:cs="Arial"/>
        </w:rPr>
        <w:t xml:space="preserve">Quoique les réunions se tenaient en diverses fréquences, on constate que les COGES fournissent assez d’efforts pour respecter les </w:t>
      </w:r>
      <w:r w:rsidR="004F1AAE">
        <w:rPr>
          <w:rFonts w:ascii="Bookman Old Style" w:hAnsi="Bookman Old Style" w:cs="Arial"/>
        </w:rPr>
        <w:t>délais</w:t>
      </w:r>
      <w:r>
        <w:rPr>
          <w:rFonts w:ascii="Bookman Old Style" w:hAnsi="Bookman Old Style" w:cs="Arial"/>
        </w:rPr>
        <w:t xml:space="preserve">. Ainsi, le respect de fréquence des réunions varie </w:t>
      </w:r>
      <w:r w:rsidR="004F1AAE">
        <w:rPr>
          <w:rFonts w:ascii="Bookman Old Style" w:hAnsi="Bookman Old Style" w:cs="Arial"/>
        </w:rPr>
        <w:t xml:space="preserve">de 75% (Tahoua) à 100% à Zinder. Toutefois, 25% des COGES GFS de Tahoua ne respectent pas les délais des réunions, notamment au niveau des villages de </w:t>
      </w:r>
      <w:proofErr w:type="spellStart"/>
      <w:r w:rsidR="004F1AAE">
        <w:rPr>
          <w:rFonts w:ascii="Bookman Old Style" w:hAnsi="Bookman Old Style" w:cs="Arial"/>
        </w:rPr>
        <w:t>Sarkake</w:t>
      </w:r>
      <w:proofErr w:type="spellEnd"/>
      <w:r w:rsidR="004F1AAE">
        <w:rPr>
          <w:rFonts w:ascii="Bookman Old Style" w:hAnsi="Bookman Old Style" w:cs="Arial"/>
        </w:rPr>
        <w:t xml:space="preserve"> (</w:t>
      </w:r>
      <w:proofErr w:type="spellStart"/>
      <w:r w:rsidR="004F1AAE">
        <w:rPr>
          <w:rFonts w:ascii="Bookman Old Style" w:hAnsi="Bookman Old Style" w:cs="Arial"/>
        </w:rPr>
        <w:t>Badaguichiri</w:t>
      </w:r>
      <w:proofErr w:type="spellEnd"/>
      <w:r w:rsidR="004F1AAE">
        <w:rPr>
          <w:rFonts w:ascii="Bookman Old Style" w:hAnsi="Bookman Old Style" w:cs="Arial"/>
        </w:rPr>
        <w:t xml:space="preserve">) et </w:t>
      </w:r>
      <w:proofErr w:type="spellStart"/>
      <w:r w:rsidR="004F1AAE">
        <w:rPr>
          <w:rFonts w:ascii="Bookman Old Style" w:hAnsi="Bookman Old Style" w:cs="Arial"/>
        </w:rPr>
        <w:t>Kozga</w:t>
      </w:r>
      <w:proofErr w:type="spellEnd"/>
      <w:r w:rsidR="004F1AAE">
        <w:rPr>
          <w:rFonts w:ascii="Bookman Old Style" w:hAnsi="Bookman Old Style" w:cs="Arial"/>
        </w:rPr>
        <w:t xml:space="preserve"> (PDE Tounfafi).</w:t>
      </w:r>
    </w:p>
    <w:p w14:paraId="59FDE896" w14:textId="4C4EE673" w:rsidR="00E63736" w:rsidRDefault="004F1AAE" w:rsidP="002C76C2">
      <w:pPr>
        <w:tabs>
          <w:tab w:val="left" w:pos="4402"/>
        </w:tabs>
        <w:spacing w:line="276" w:lineRule="auto"/>
        <w:rPr>
          <w:rFonts w:ascii="Bookman Old Style" w:hAnsi="Bookman Old Style" w:cs="Arial"/>
        </w:rPr>
      </w:pPr>
      <w:r>
        <w:rPr>
          <w:rFonts w:ascii="Bookman Old Style" w:hAnsi="Bookman Old Style" w:cs="Arial"/>
        </w:rPr>
        <w:t xml:space="preserve"> </w:t>
      </w:r>
    </w:p>
    <w:p w14:paraId="4538E322" w14:textId="0CE8781B" w:rsidR="00A72B8D" w:rsidRDefault="00E63736" w:rsidP="009F37E5">
      <w:pPr>
        <w:tabs>
          <w:tab w:val="left" w:pos="4402"/>
        </w:tabs>
        <w:spacing w:line="276" w:lineRule="auto"/>
        <w:jc w:val="center"/>
        <w:rPr>
          <w:rFonts w:ascii="Bookman Old Style" w:hAnsi="Bookman Old Style" w:cs="Arial"/>
        </w:rPr>
      </w:pPr>
      <w:r>
        <w:rPr>
          <w:noProof/>
        </w:rPr>
        <w:drawing>
          <wp:inline distT="0" distB="0" distL="0" distR="0" wp14:anchorId="4D546213" wp14:editId="78636675">
            <wp:extent cx="4572000" cy="2560320"/>
            <wp:effectExtent l="0" t="0" r="0" b="11430"/>
            <wp:docPr id="6" name="Graphique 6">
              <a:extLst xmlns:a="http://schemas.openxmlformats.org/drawingml/2006/main">
                <a:ext uri="{FF2B5EF4-FFF2-40B4-BE49-F238E27FC236}">
                  <a16:creationId xmlns:a16="http://schemas.microsoft.com/office/drawing/2014/main" id="{573E6F20-2218-4BAE-BDC0-3A0EEA066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5AF318" w14:textId="1C78C123" w:rsidR="002840BC" w:rsidRDefault="003D37B5" w:rsidP="003D37B5">
      <w:pPr>
        <w:pStyle w:val="Lgende"/>
        <w:rPr>
          <w:rFonts w:ascii="Bookman Old Style" w:hAnsi="Bookman Old Style" w:cs="Arial"/>
        </w:rPr>
      </w:pPr>
      <w:r>
        <w:t xml:space="preserve">                    </w:t>
      </w:r>
      <w:bookmarkStart w:id="78" w:name="_Toc97823244"/>
      <w:r w:rsidR="002840BC">
        <w:t xml:space="preserve">Figure </w:t>
      </w:r>
      <w:fldSimple w:instr=" SEQ Figure \* ARABIC ">
        <w:r w:rsidR="004F4E33">
          <w:rPr>
            <w:noProof/>
          </w:rPr>
          <w:t>31</w:t>
        </w:r>
      </w:fldSimple>
      <w:r w:rsidR="002840BC">
        <w:t> : Respect de fréquences des réunions</w:t>
      </w:r>
      <w:bookmarkEnd w:id="78"/>
    </w:p>
    <w:p w14:paraId="75414617" w14:textId="2FBDABD7" w:rsidR="00A72B8D" w:rsidRDefault="00B76628" w:rsidP="00B76628">
      <w:pPr>
        <w:tabs>
          <w:tab w:val="left" w:pos="4402"/>
        </w:tabs>
        <w:spacing w:before="240" w:line="276" w:lineRule="auto"/>
        <w:jc w:val="both"/>
        <w:rPr>
          <w:rFonts w:ascii="Bookman Old Style" w:hAnsi="Bookman Old Style" w:cs="Arial"/>
        </w:rPr>
      </w:pPr>
      <w:r>
        <w:rPr>
          <w:rFonts w:ascii="Bookman Old Style" w:hAnsi="Bookman Old Style" w:cs="Arial"/>
        </w:rPr>
        <w:t xml:space="preserve">Outre le respect de fréquence, les COGES GFS établissent des procès-verbaux PV de leurs réunions. Ainsi, le </w:t>
      </w:r>
      <w:r w:rsidR="00B91700">
        <w:rPr>
          <w:rFonts w:ascii="Bookman Old Style" w:hAnsi="Bookman Old Style" w:cs="Arial"/>
        </w:rPr>
        <w:t>figure</w:t>
      </w:r>
      <w:r>
        <w:rPr>
          <w:rFonts w:ascii="Bookman Old Style" w:hAnsi="Bookman Old Style" w:cs="Arial"/>
        </w:rPr>
        <w:t xml:space="preserve"> ci-dessous nous indique qu’au moins 63% des COGES affirment avoir </w:t>
      </w:r>
      <w:r w:rsidR="00CC4856">
        <w:rPr>
          <w:rFonts w:ascii="Bookman Old Style" w:hAnsi="Bookman Old Style" w:cs="Arial"/>
        </w:rPr>
        <w:t>rédigé</w:t>
      </w:r>
      <w:r>
        <w:rPr>
          <w:rFonts w:ascii="Bookman Old Style" w:hAnsi="Bookman Old Style" w:cs="Arial"/>
        </w:rPr>
        <w:t xml:space="preserve"> des PV à chaque réunion </w:t>
      </w:r>
      <w:r w:rsidR="00CC4856">
        <w:rPr>
          <w:rFonts w:ascii="Bookman Old Style" w:hAnsi="Bookman Old Style" w:cs="Arial"/>
        </w:rPr>
        <w:t>GFS. Ce taux va jusqu’à 88% à Zinder. Le taux le plus élevé de non élaboration des PV de réunion est de 37% à</w:t>
      </w:r>
      <w:r w:rsidR="00BC3196" w:rsidRPr="00BC3196">
        <w:rPr>
          <w:rFonts w:ascii="Bookman Old Style" w:hAnsi="Bookman Old Style" w:cs="Arial"/>
        </w:rPr>
        <w:t xml:space="preserve"> </w:t>
      </w:r>
      <w:r w:rsidR="00BC3196">
        <w:rPr>
          <w:rFonts w:ascii="Bookman Old Style" w:hAnsi="Bookman Old Style" w:cs="Arial"/>
        </w:rPr>
        <w:t>Maradi (</w:t>
      </w:r>
      <w:proofErr w:type="spellStart"/>
      <w:r w:rsidR="00BC3196">
        <w:rPr>
          <w:rFonts w:ascii="Bookman Old Style" w:hAnsi="Bookman Old Style" w:cs="Arial"/>
        </w:rPr>
        <w:t>Kaiwa</w:t>
      </w:r>
      <w:proofErr w:type="spellEnd"/>
      <w:r w:rsidR="00BC3196">
        <w:rPr>
          <w:rFonts w:ascii="Bookman Old Style" w:hAnsi="Bookman Old Style" w:cs="Arial"/>
        </w:rPr>
        <w:t xml:space="preserve">, </w:t>
      </w:r>
      <w:proofErr w:type="spellStart"/>
      <w:r w:rsidR="00BC3196">
        <w:rPr>
          <w:rFonts w:ascii="Bookman Old Style" w:hAnsi="Bookman Old Style" w:cs="Arial"/>
        </w:rPr>
        <w:t>Tsamiyal</w:t>
      </w:r>
      <w:proofErr w:type="spellEnd"/>
      <w:r w:rsidR="00BC3196">
        <w:rPr>
          <w:rFonts w:ascii="Bookman Old Style" w:hAnsi="Bookman Old Style" w:cs="Arial"/>
        </w:rPr>
        <w:t xml:space="preserve"> Koura et </w:t>
      </w:r>
      <w:proofErr w:type="spellStart"/>
      <w:r w:rsidR="00BC3196">
        <w:rPr>
          <w:rFonts w:ascii="Bookman Old Style" w:hAnsi="Bookman Old Style" w:cs="Arial"/>
        </w:rPr>
        <w:t>Karanguiya</w:t>
      </w:r>
      <w:proofErr w:type="spellEnd"/>
      <w:r w:rsidR="00BC3196">
        <w:rPr>
          <w:rFonts w:ascii="Bookman Old Style" w:hAnsi="Bookman Old Style" w:cs="Arial"/>
        </w:rPr>
        <w:t>)</w:t>
      </w:r>
      <w:r w:rsidR="00CC4856">
        <w:rPr>
          <w:rFonts w:ascii="Bookman Old Style" w:hAnsi="Bookman Old Style" w:cs="Arial"/>
        </w:rPr>
        <w:t xml:space="preserve"> </w:t>
      </w:r>
      <w:r w:rsidR="00BC3196">
        <w:rPr>
          <w:rFonts w:ascii="Bookman Old Style" w:hAnsi="Bookman Old Style" w:cs="Arial"/>
        </w:rPr>
        <w:t xml:space="preserve">suivi de </w:t>
      </w:r>
      <w:r w:rsidR="00CC4856">
        <w:rPr>
          <w:rFonts w:ascii="Bookman Old Style" w:hAnsi="Bookman Old Style" w:cs="Arial"/>
        </w:rPr>
        <w:t xml:space="preserve">Tahoua </w:t>
      </w:r>
      <w:r w:rsidR="00BC3196">
        <w:rPr>
          <w:rFonts w:ascii="Bookman Old Style" w:hAnsi="Bookman Old Style" w:cs="Arial"/>
        </w:rPr>
        <w:t xml:space="preserve">avec 25% </w:t>
      </w:r>
      <w:r w:rsidR="00CC4856">
        <w:rPr>
          <w:rFonts w:ascii="Bookman Old Style" w:hAnsi="Bookman Old Style" w:cs="Arial"/>
        </w:rPr>
        <w:t>(Dara</w:t>
      </w:r>
      <w:r w:rsidR="00D44526">
        <w:rPr>
          <w:rFonts w:ascii="Bookman Old Style" w:hAnsi="Bookman Old Style" w:cs="Arial"/>
        </w:rPr>
        <w:t xml:space="preserve"> et </w:t>
      </w:r>
      <w:proofErr w:type="spellStart"/>
      <w:r w:rsidR="00CC4856">
        <w:rPr>
          <w:rFonts w:ascii="Bookman Old Style" w:hAnsi="Bookman Old Style" w:cs="Arial"/>
        </w:rPr>
        <w:t>Zakin</w:t>
      </w:r>
      <w:proofErr w:type="spellEnd"/>
      <w:r w:rsidR="00CC4856">
        <w:rPr>
          <w:rFonts w:ascii="Bookman Old Style" w:hAnsi="Bookman Old Style" w:cs="Arial"/>
        </w:rPr>
        <w:t xml:space="preserve"> </w:t>
      </w:r>
      <w:proofErr w:type="spellStart"/>
      <w:r w:rsidR="00CC4856">
        <w:rPr>
          <w:rFonts w:ascii="Bookman Old Style" w:hAnsi="Bookman Old Style" w:cs="Arial"/>
        </w:rPr>
        <w:t>Dania</w:t>
      </w:r>
      <w:proofErr w:type="spellEnd"/>
      <w:r w:rsidR="00CC4856">
        <w:rPr>
          <w:rFonts w:ascii="Bookman Old Style" w:hAnsi="Bookman Old Style" w:cs="Arial"/>
        </w:rPr>
        <w:t>).</w:t>
      </w:r>
      <w:r w:rsidR="00D44526">
        <w:rPr>
          <w:rFonts w:ascii="Bookman Old Style" w:hAnsi="Bookman Old Style" w:cs="Arial"/>
        </w:rPr>
        <w:t xml:space="preserve"> Cet état de fait est lié à </w:t>
      </w:r>
      <w:r w:rsidR="00F977EB">
        <w:rPr>
          <w:rFonts w:ascii="Bookman Old Style" w:hAnsi="Bookman Old Style" w:cs="Arial"/>
        </w:rPr>
        <w:t xml:space="preserve">des difficultés </w:t>
      </w:r>
      <w:r w:rsidR="00F977EB">
        <w:rPr>
          <w:rFonts w:ascii="Bookman Old Style" w:hAnsi="Bookman Old Style" w:cs="Arial"/>
        </w:rPr>
        <w:lastRenderedPageBreak/>
        <w:t>relevées</w:t>
      </w:r>
      <w:r w:rsidR="00D44526">
        <w:rPr>
          <w:rFonts w:ascii="Bookman Old Style" w:hAnsi="Bookman Old Style" w:cs="Arial"/>
        </w:rPr>
        <w:t xml:space="preserve"> au niveau de ces villages dans la tenue des cahiers de réunions (moyennement ou pas du tout tenus), d’où la nécessité d’un recyclage des secrétaires.</w:t>
      </w:r>
    </w:p>
    <w:p w14:paraId="64212E64" w14:textId="6FC66692" w:rsidR="00CC4856" w:rsidRDefault="00BC3196" w:rsidP="00F06518">
      <w:pPr>
        <w:tabs>
          <w:tab w:val="left" w:pos="4402"/>
        </w:tabs>
        <w:spacing w:before="240" w:line="276" w:lineRule="auto"/>
        <w:jc w:val="center"/>
        <w:rPr>
          <w:rFonts w:ascii="Bookman Old Style" w:hAnsi="Bookman Old Style" w:cs="Arial"/>
        </w:rPr>
      </w:pPr>
      <w:r>
        <w:rPr>
          <w:noProof/>
        </w:rPr>
        <w:drawing>
          <wp:inline distT="0" distB="0" distL="0" distR="0" wp14:anchorId="2959E0A2" wp14:editId="4B279AED">
            <wp:extent cx="4572000" cy="2743200"/>
            <wp:effectExtent l="0" t="0" r="0" b="0"/>
            <wp:docPr id="29" name="Graphique 29">
              <a:extLst xmlns:a="http://schemas.openxmlformats.org/drawingml/2006/main">
                <a:ext uri="{FF2B5EF4-FFF2-40B4-BE49-F238E27FC236}">
                  <a16:creationId xmlns:a16="http://schemas.microsoft.com/office/drawing/2014/main" id="{DF655FA4-7202-453C-898B-C75C03937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8FB944E" w14:textId="11A23207" w:rsidR="00562B16" w:rsidRDefault="003D37B5" w:rsidP="003D37B5">
      <w:pPr>
        <w:pStyle w:val="Lgende"/>
        <w:rPr>
          <w:rFonts w:ascii="Bookman Old Style" w:hAnsi="Bookman Old Style" w:cs="Arial"/>
        </w:rPr>
      </w:pPr>
      <w:r>
        <w:t xml:space="preserve">                    </w:t>
      </w:r>
      <w:bookmarkStart w:id="79" w:name="_Toc97823245"/>
      <w:r w:rsidR="002840BC">
        <w:t xml:space="preserve">Figure </w:t>
      </w:r>
      <w:fldSimple w:instr=" SEQ Figure \* ARABIC ">
        <w:r w:rsidR="004F4E33">
          <w:rPr>
            <w:noProof/>
          </w:rPr>
          <w:t>32</w:t>
        </w:r>
      </w:fldSimple>
      <w:r w:rsidR="002840BC">
        <w:t> : Rédaction des PV des réunions</w:t>
      </w:r>
      <w:bookmarkEnd w:id="79"/>
    </w:p>
    <w:p w14:paraId="29C74D6C" w14:textId="501BA3A8" w:rsidR="00F86E1B" w:rsidRPr="001310BC" w:rsidRDefault="00F86E1B" w:rsidP="0005354B">
      <w:pPr>
        <w:pStyle w:val="Titre3"/>
        <w:numPr>
          <w:ilvl w:val="2"/>
          <w:numId w:val="3"/>
        </w:numPr>
        <w:rPr>
          <w:rFonts w:ascii="Bookman Old Style" w:hAnsi="Bookman Old Style" w:cs="Arial"/>
          <w:i/>
          <w:iCs/>
        </w:rPr>
      </w:pPr>
      <w:bookmarkStart w:id="80" w:name="_Toc97822372"/>
      <w:r w:rsidRPr="001310BC">
        <w:rPr>
          <w:rFonts w:ascii="Bookman Old Style" w:hAnsi="Bookman Old Style" w:cs="Arial"/>
          <w:i/>
          <w:iCs/>
        </w:rPr>
        <w:t>Tenue des Assemblées Générales</w:t>
      </w:r>
      <w:r w:rsidR="00915FC7" w:rsidRPr="001310BC">
        <w:rPr>
          <w:rFonts w:ascii="Bookman Old Style" w:hAnsi="Bookman Old Style" w:cs="Arial"/>
          <w:i/>
          <w:iCs/>
        </w:rPr>
        <w:t xml:space="preserve"> (AG)</w:t>
      </w:r>
      <w:bookmarkEnd w:id="80"/>
    </w:p>
    <w:p w14:paraId="634FAE92" w14:textId="5F0E0B58" w:rsidR="00F86E1B" w:rsidRDefault="008277E5" w:rsidP="008277E5">
      <w:pPr>
        <w:tabs>
          <w:tab w:val="left" w:pos="4402"/>
        </w:tabs>
        <w:spacing w:before="240" w:line="276" w:lineRule="auto"/>
        <w:jc w:val="both"/>
        <w:rPr>
          <w:rFonts w:ascii="Bookman Old Style" w:hAnsi="Bookman Old Style" w:cs="Arial"/>
        </w:rPr>
      </w:pPr>
      <w:r>
        <w:rPr>
          <w:rFonts w:ascii="Bookman Old Style" w:hAnsi="Bookman Old Style" w:cs="Arial"/>
        </w:rPr>
        <w:t xml:space="preserve">Tout comme la réunion du COGES, l’Assemblée Générale des membres est </w:t>
      </w:r>
      <w:r w:rsidR="00A606AA">
        <w:rPr>
          <w:rFonts w:ascii="Bookman Old Style" w:hAnsi="Bookman Old Style" w:cs="Arial"/>
        </w:rPr>
        <w:t>d</w:t>
      </w:r>
      <w:r>
        <w:rPr>
          <w:rFonts w:ascii="Bookman Old Style" w:hAnsi="Bookman Old Style" w:cs="Arial"/>
        </w:rPr>
        <w:t>’un</w:t>
      </w:r>
      <w:r w:rsidR="00A606AA">
        <w:rPr>
          <w:rFonts w:ascii="Bookman Old Style" w:hAnsi="Bookman Old Style" w:cs="Arial"/>
        </w:rPr>
        <w:t>e</w:t>
      </w:r>
      <w:r>
        <w:rPr>
          <w:rFonts w:ascii="Bookman Old Style" w:hAnsi="Bookman Old Style" w:cs="Arial"/>
        </w:rPr>
        <w:t xml:space="preserve"> importance capitale dans la conduite des activités GFS. L’</w:t>
      </w:r>
      <w:r w:rsidRPr="008277E5">
        <w:rPr>
          <w:rFonts w:ascii="Bookman Old Style" w:hAnsi="Bookman Old Style" w:cs="Arial"/>
        </w:rPr>
        <w:t xml:space="preserve">Assemblée Générale </w:t>
      </w:r>
      <w:r>
        <w:rPr>
          <w:rFonts w:ascii="Bookman Old Style" w:hAnsi="Bookman Old Style" w:cs="Arial"/>
        </w:rPr>
        <w:t xml:space="preserve">est l’occasion pour le COGES de rendre compte de sa gestion </w:t>
      </w:r>
      <w:r w:rsidR="005636DC">
        <w:rPr>
          <w:rFonts w:ascii="Bookman Old Style" w:hAnsi="Bookman Old Style" w:cs="Arial"/>
        </w:rPr>
        <w:t xml:space="preserve">aux membres </w:t>
      </w:r>
      <w:r>
        <w:rPr>
          <w:rFonts w:ascii="Bookman Old Style" w:hAnsi="Bookman Old Style" w:cs="Arial"/>
        </w:rPr>
        <w:t xml:space="preserve">mais aussi de faire sien les conclusions et grandes décisions prises au sortir des AG. </w:t>
      </w:r>
      <w:r w:rsidR="005636DC">
        <w:rPr>
          <w:rFonts w:ascii="Bookman Old Style" w:hAnsi="Bookman Old Style" w:cs="Arial"/>
        </w:rPr>
        <w:t xml:space="preserve">C’est un élément clé dans l’instauration d’un climat de confiance entre les acteurs, d’un </w:t>
      </w:r>
      <w:r w:rsidR="00B4164B">
        <w:rPr>
          <w:rFonts w:ascii="Bookman Old Style" w:hAnsi="Bookman Old Style" w:cs="Arial"/>
        </w:rPr>
        <w:t>côté</w:t>
      </w:r>
      <w:r w:rsidR="005636DC">
        <w:rPr>
          <w:rFonts w:ascii="Bookman Old Style" w:hAnsi="Bookman Old Style" w:cs="Arial"/>
        </w:rPr>
        <w:t xml:space="preserve"> le COGES GFS et de l’autre les membres GFS et les groupements MMD.</w:t>
      </w:r>
      <w:r>
        <w:rPr>
          <w:rFonts w:ascii="Bookman Old Style" w:hAnsi="Bookman Old Style" w:cs="Arial"/>
        </w:rPr>
        <w:t xml:space="preserve"> </w:t>
      </w:r>
    </w:p>
    <w:p w14:paraId="19D1927A" w14:textId="21E35E36" w:rsidR="005636DC" w:rsidRDefault="005636DC" w:rsidP="005636DC">
      <w:pPr>
        <w:tabs>
          <w:tab w:val="left" w:pos="4402"/>
        </w:tabs>
        <w:spacing w:before="240" w:line="276" w:lineRule="auto"/>
        <w:jc w:val="both"/>
        <w:rPr>
          <w:rFonts w:ascii="Bookman Old Style" w:hAnsi="Bookman Old Style" w:cs="Arial"/>
        </w:rPr>
      </w:pPr>
      <w:r>
        <w:rPr>
          <w:rFonts w:ascii="Bookman Old Style" w:hAnsi="Bookman Old Style" w:cs="Arial"/>
        </w:rPr>
        <w:t xml:space="preserve">A l’exception de COGES GFS du village de </w:t>
      </w:r>
      <w:proofErr w:type="spellStart"/>
      <w:r>
        <w:rPr>
          <w:rFonts w:ascii="Bookman Old Style" w:hAnsi="Bookman Old Style" w:cs="Arial"/>
        </w:rPr>
        <w:t>Kozga</w:t>
      </w:r>
      <w:proofErr w:type="spellEnd"/>
      <w:r>
        <w:rPr>
          <w:rFonts w:ascii="Bookman Old Style" w:hAnsi="Bookman Old Style" w:cs="Arial"/>
        </w:rPr>
        <w:t xml:space="preserve"> (PDE de </w:t>
      </w:r>
      <w:proofErr w:type="spellStart"/>
      <w:r>
        <w:rPr>
          <w:rFonts w:ascii="Bookman Old Style" w:hAnsi="Bookman Old Style" w:cs="Arial"/>
        </w:rPr>
        <w:t>Tounfafi</w:t>
      </w:r>
      <w:proofErr w:type="spellEnd"/>
      <w:r>
        <w:rPr>
          <w:rFonts w:ascii="Bookman Old Style" w:hAnsi="Bookman Old Style" w:cs="Arial"/>
        </w:rPr>
        <w:t xml:space="preserve"> à Tahoua), tous les </w:t>
      </w:r>
      <w:r w:rsidR="00475DA2">
        <w:rPr>
          <w:rFonts w:ascii="Bookman Old Style" w:hAnsi="Bookman Old Style" w:cs="Arial"/>
        </w:rPr>
        <w:t xml:space="preserve">23 </w:t>
      </w:r>
      <w:r>
        <w:rPr>
          <w:rFonts w:ascii="Bookman Old Style" w:hAnsi="Bookman Old Style" w:cs="Arial"/>
        </w:rPr>
        <w:t xml:space="preserve">autres convoquent des AG </w:t>
      </w:r>
      <w:r w:rsidR="00475DA2">
        <w:rPr>
          <w:rFonts w:ascii="Bookman Old Style" w:hAnsi="Bookman Old Style" w:cs="Arial"/>
        </w:rPr>
        <w:t xml:space="preserve">(96%) </w:t>
      </w:r>
      <w:r>
        <w:rPr>
          <w:rFonts w:ascii="Bookman Old Style" w:hAnsi="Bookman Old Style" w:cs="Arial"/>
        </w:rPr>
        <w:t xml:space="preserve">afin de rendre compte de leur gestion et échanger sur la conduite à suivre pour le maintien et la durabilité de GFS. </w:t>
      </w:r>
      <w:r w:rsidR="002E5645">
        <w:rPr>
          <w:rFonts w:ascii="Bookman Old Style" w:hAnsi="Bookman Old Style" w:cs="Arial"/>
        </w:rPr>
        <w:t xml:space="preserve">En référence </w:t>
      </w:r>
      <w:r w:rsidR="00234096">
        <w:rPr>
          <w:rFonts w:ascii="Bookman Old Style" w:hAnsi="Bookman Old Style" w:cs="Arial"/>
        </w:rPr>
        <w:t>à la figure</w:t>
      </w:r>
      <w:r w:rsidR="002E5645">
        <w:rPr>
          <w:rFonts w:ascii="Bookman Old Style" w:hAnsi="Bookman Old Style" w:cs="Arial"/>
        </w:rPr>
        <w:t xml:space="preserve"> ci-dessous, on constate que 48% des COGES convoquent chaque mois des AG. Cette catégorie est plus représentée à Zinder où l’ensemble de 8 COGES tiennent des AG mensuelles. 17% des COGES</w:t>
      </w:r>
      <w:r w:rsidR="005C4ECD">
        <w:rPr>
          <w:rFonts w:ascii="Bookman Old Style" w:hAnsi="Bookman Old Style" w:cs="Arial"/>
        </w:rPr>
        <w:t>, exclusivement de Maradi</w:t>
      </w:r>
      <w:r w:rsidR="002E5645">
        <w:rPr>
          <w:rFonts w:ascii="Bookman Old Style" w:hAnsi="Bookman Old Style" w:cs="Arial"/>
        </w:rPr>
        <w:t xml:space="preserve"> convoquent des AG annuelles</w:t>
      </w:r>
      <w:r w:rsidR="005C4ECD">
        <w:rPr>
          <w:rFonts w:ascii="Bookman Old Style" w:hAnsi="Bookman Old Style" w:cs="Arial"/>
        </w:rPr>
        <w:t>.</w:t>
      </w:r>
      <w:r w:rsidR="002E5645">
        <w:rPr>
          <w:rFonts w:ascii="Bookman Old Style" w:hAnsi="Bookman Old Style" w:cs="Arial"/>
        </w:rPr>
        <w:t xml:space="preserve"> </w:t>
      </w:r>
      <w:r w:rsidR="000D006F">
        <w:rPr>
          <w:rFonts w:ascii="Bookman Old Style" w:hAnsi="Bookman Old Style" w:cs="Arial"/>
        </w:rPr>
        <w:t>Outre ces fréquences les COGES tiennent des AG à l’occasion de chaque cession des vivres aux membres.</w:t>
      </w:r>
    </w:p>
    <w:p w14:paraId="2B9DE331" w14:textId="69B03B16" w:rsidR="00562B16" w:rsidRDefault="00562B16" w:rsidP="00A836B9">
      <w:pPr>
        <w:tabs>
          <w:tab w:val="left" w:pos="4402"/>
        </w:tabs>
        <w:spacing w:line="276" w:lineRule="auto"/>
        <w:jc w:val="center"/>
        <w:rPr>
          <w:rFonts w:ascii="Bookman Old Style" w:hAnsi="Bookman Old Style" w:cs="Arial"/>
        </w:rPr>
      </w:pPr>
    </w:p>
    <w:p w14:paraId="28D79B6D" w14:textId="2E9EAA62" w:rsidR="00E719C1" w:rsidRDefault="000D006F" w:rsidP="00A836B9">
      <w:pPr>
        <w:tabs>
          <w:tab w:val="left" w:pos="4402"/>
        </w:tabs>
        <w:spacing w:line="276" w:lineRule="auto"/>
        <w:jc w:val="center"/>
        <w:rPr>
          <w:rFonts w:ascii="Bookman Old Style" w:hAnsi="Bookman Old Style" w:cs="Arial"/>
        </w:rPr>
      </w:pPr>
      <w:r>
        <w:rPr>
          <w:noProof/>
        </w:rPr>
        <w:lastRenderedPageBreak/>
        <w:drawing>
          <wp:inline distT="0" distB="0" distL="0" distR="0" wp14:anchorId="17FB3C9C" wp14:editId="6F304787">
            <wp:extent cx="4572000" cy="2743200"/>
            <wp:effectExtent l="0" t="0" r="0" b="0"/>
            <wp:docPr id="25" name="Graphique 25">
              <a:extLst xmlns:a="http://schemas.openxmlformats.org/drawingml/2006/main">
                <a:ext uri="{FF2B5EF4-FFF2-40B4-BE49-F238E27FC236}">
                  <a16:creationId xmlns:a16="http://schemas.microsoft.com/office/drawing/2014/main" id="{3837DF43-3083-454D-8EA1-EBA699302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C45F02" w14:textId="0E73761E" w:rsidR="002840BC" w:rsidRDefault="003D37B5" w:rsidP="003D37B5">
      <w:pPr>
        <w:pStyle w:val="Lgende"/>
        <w:rPr>
          <w:rFonts w:ascii="Bookman Old Style" w:hAnsi="Bookman Old Style" w:cs="Arial"/>
        </w:rPr>
      </w:pPr>
      <w:r>
        <w:t xml:space="preserve">                    </w:t>
      </w:r>
      <w:bookmarkStart w:id="81" w:name="_Toc97823246"/>
      <w:r w:rsidR="002840BC">
        <w:t xml:space="preserve">Figure </w:t>
      </w:r>
      <w:fldSimple w:instr=" SEQ Figure \* ARABIC ">
        <w:r w:rsidR="004F4E33">
          <w:rPr>
            <w:noProof/>
          </w:rPr>
          <w:t>33</w:t>
        </w:r>
      </w:fldSimple>
      <w:r w:rsidR="002840BC">
        <w:t> : Fréquences de tenue des AG</w:t>
      </w:r>
      <w:bookmarkEnd w:id="81"/>
    </w:p>
    <w:p w14:paraId="764337A3" w14:textId="10A9F14D" w:rsidR="00E719C1" w:rsidRDefault="00915FC7" w:rsidP="009042DD">
      <w:pPr>
        <w:tabs>
          <w:tab w:val="left" w:pos="4402"/>
        </w:tabs>
        <w:spacing w:before="240" w:line="276" w:lineRule="auto"/>
        <w:jc w:val="both"/>
        <w:rPr>
          <w:rFonts w:ascii="Bookman Old Style" w:hAnsi="Bookman Old Style" w:cs="Arial"/>
        </w:rPr>
      </w:pPr>
      <w:r w:rsidRPr="001771EE">
        <w:rPr>
          <w:rFonts w:ascii="Bookman Old Style" w:hAnsi="Bookman Old Style" w:cs="Arial"/>
        </w:rPr>
        <w:t>Les</w:t>
      </w:r>
      <w:r w:rsidR="001771EE" w:rsidRPr="009042DD">
        <w:rPr>
          <w:rFonts w:ascii="Bookman Old Style" w:hAnsi="Bookman Old Style" w:cs="Arial"/>
        </w:rPr>
        <w:t xml:space="preserve"> fréquences des</w:t>
      </w:r>
      <w:r w:rsidRPr="001771EE">
        <w:rPr>
          <w:rFonts w:ascii="Bookman Old Style" w:hAnsi="Bookman Old Style" w:cs="Arial"/>
        </w:rPr>
        <w:t xml:space="preserve"> AG</w:t>
      </w:r>
      <w:r w:rsidR="001771EE">
        <w:rPr>
          <w:rFonts w:ascii="Bookman Old Style" w:hAnsi="Bookman Old Style" w:cs="Arial"/>
        </w:rPr>
        <w:t xml:space="preserve"> sont respectées à 100% au niveau de la région de Maradi et Zinder. Le taux est également très élevé à Tahoua où seul le COGES GFS de Dara ne respecte pas la fréquence d’AG comme nous l’indique </w:t>
      </w:r>
      <w:r w:rsidR="00234096">
        <w:rPr>
          <w:rFonts w:ascii="Bookman Old Style" w:hAnsi="Bookman Old Style" w:cs="Arial"/>
        </w:rPr>
        <w:t>la figure</w:t>
      </w:r>
      <w:r w:rsidR="001771EE">
        <w:rPr>
          <w:rFonts w:ascii="Bookman Old Style" w:hAnsi="Bookman Old Style" w:cs="Arial"/>
        </w:rPr>
        <w:t xml:space="preserve"> ci-dessous.</w:t>
      </w:r>
    </w:p>
    <w:p w14:paraId="598F0496" w14:textId="40FBA40C" w:rsidR="00BC4107" w:rsidRDefault="00BC4107" w:rsidP="00BC4107">
      <w:pPr>
        <w:tabs>
          <w:tab w:val="left" w:pos="4402"/>
        </w:tabs>
        <w:spacing w:before="240" w:line="276" w:lineRule="auto"/>
        <w:jc w:val="center"/>
        <w:rPr>
          <w:rFonts w:ascii="Bookman Old Style" w:hAnsi="Bookman Old Style" w:cs="Arial"/>
        </w:rPr>
      </w:pPr>
      <w:r>
        <w:rPr>
          <w:noProof/>
        </w:rPr>
        <w:drawing>
          <wp:inline distT="0" distB="0" distL="0" distR="0" wp14:anchorId="10D12E5D" wp14:editId="43EC5CA2">
            <wp:extent cx="4572000" cy="2560320"/>
            <wp:effectExtent l="0" t="0" r="0" b="11430"/>
            <wp:docPr id="31" name="Graphique 31">
              <a:extLst xmlns:a="http://schemas.openxmlformats.org/drawingml/2006/main">
                <a:ext uri="{FF2B5EF4-FFF2-40B4-BE49-F238E27FC236}">
                  <a16:creationId xmlns:a16="http://schemas.microsoft.com/office/drawing/2014/main" id="{573E6F20-2218-4BAE-BDC0-3A0EEA066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5918D4" w14:textId="5B71D269" w:rsidR="002840BC" w:rsidRDefault="003D37B5" w:rsidP="003D37B5">
      <w:pPr>
        <w:pStyle w:val="Lgende"/>
        <w:rPr>
          <w:rFonts w:ascii="Bookman Old Style" w:hAnsi="Bookman Old Style" w:cs="Arial"/>
        </w:rPr>
      </w:pPr>
      <w:r>
        <w:t xml:space="preserve">                    </w:t>
      </w:r>
      <w:bookmarkStart w:id="82" w:name="_Toc97823247"/>
      <w:r w:rsidR="002840BC">
        <w:t xml:space="preserve">Figure </w:t>
      </w:r>
      <w:fldSimple w:instr=" SEQ Figure \* ARABIC ">
        <w:r w:rsidR="004F4E33">
          <w:rPr>
            <w:noProof/>
          </w:rPr>
          <w:t>34</w:t>
        </w:r>
      </w:fldSimple>
      <w:r w:rsidR="002840BC">
        <w:t> : Respect des fréquences des AG</w:t>
      </w:r>
      <w:bookmarkEnd w:id="82"/>
    </w:p>
    <w:p w14:paraId="2719C011" w14:textId="1F31455D" w:rsidR="00DE639D" w:rsidRDefault="001771EE" w:rsidP="004B28D6">
      <w:pPr>
        <w:tabs>
          <w:tab w:val="left" w:pos="4402"/>
        </w:tabs>
        <w:spacing w:before="240" w:line="276" w:lineRule="auto"/>
        <w:jc w:val="both"/>
        <w:rPr>
          <w:rFonts w:ascii="Bookman Old Style" w:hAnsi="Bookman Old Style" w:cs="Arial"/>
        </w:rPr>
      </w:pPr>
      <w:r>
        <w:rPr>
          <w:rFonts w:ascii="Bookman Old Style" w:hAnsi="Bookman Old Style" w:cs="Arial"/>
        </w:rPr>
        <w:t xml:space="preserve">Quant à l’établissement des PV des AG, on constate sur </w:t>
      </w:r>
      <w:r w:rsidR="00234096">
        <w:rPr>
          <w:rFonts w:ascii="Bookman Old Style" w:hAnsi="Bookman Old Style" w:cs="Arial"/>
        </w:rPr>
        <w:t>la figure</w:t>
      </w:r>
      <w:r>
        <w:rPr>
          <w:rFonts w:ascii="Bookman Old Style" w:hAnsi="Bookman Old Style" w:cs="Arial"/>
        </w:rPr>
        <w:t xml:space="preserve"> </w:t>
      </w:r>
      <w:r w:rsidR="004B28D6">
        <w:rPr>
          <w:rFonts w:ascii="Bookman Old Style" w:hAnsi="Bookman Old Style" w:cs="Arial"/>
        </w:rPr>
        <w:t>suivant que c’est à Zinder que les COGES GFS rédigent plus les PV avec un taux de 88%. Les régions de Maradi et Tahoua sont à égalité avec chacun 63%.</w:t>
      </w:r>
      <w:r w:rsidR="009042DD">
        <w:rPr>
          <w:rFonts w:ascii="Bookman Old Style" w:hAnsi="Bookman Old Style" w:cs="Arial"/>
        </w:rPr>
        <w:t xml:space="preserve"> Comme pour les PV des réunions ce sont les COGES GFS de </w:t>
      </w:r>
      <w:proofErr w:type="spellStart"/>
      <w:r w:rsidR="009042DD">
        <w:rPr>
          <w:rFonts w:ascii="Bookman Old Style" w:hAnsi="Bookman Old Style" w:cs="Arial"/>
        </w:rPr>
        <w:t>Kaiwa</w:t>
      </w:r>
      <w:proofErr w:type="spellEnd"/>
      <w:r w:rsidR="009042DD">
        <w:rPr>
          <w:rFonts w:ascii="Bookman Old Style" w:hAnsi="Bookman Old Style" w:cs="Arial"/>
        </w:rPr>
        <w:t xml:space="preserve">, </w:t>
      </w:r>
      <w:proofErr w:type="spellStart"/>
      <w:r w:rsidR="009042DD">
        <w:rPr>
          <w:rFonts w:ascii="Bookman Old Style" w:hAnsi="Bookman Old Style" w:cs="Arial"/>
        </w:rPr>
        <w:t>Tsamiyal</w:t>
      </w:r>
      <w:proofErr w:type="spellEnd"/>
      <w:r w:rsidR="009042DD">
        <w:rPr>
          <w:rFonts w:ascii="Bookman Old Style" w:hAnsi="Bookman Old Style" w:cs="Arial"/>
        </w:rPr>
        <w:t xml:space="preserve"> Koura et </w:t>
      </w:r>
      <w:proofErr w:type="spellStart"/>
      <w:r w:rsidR="009042DD">
        <w:rPr>
          <w:rFonts w:ascii="Bookman Old Style" w:hAnsi="Bookman Old Style" w:cs="Arial"/>
        </w:rPr>
        <w:t>Karanguiya</w:t>
      </w:r>
      <w:proofErr w:type="spellEnd"/>
      <w:r w:rsidR="009042DD">
        <w:rPr>
          <w:rFonts w:ascii="Bookman Old Style" w:hAnsi="Bookman Old Style" w:cs="Arial"/>
        </w:rPr>
        <w:t xml:space="preserve"> (Maradi) et Dara et </w:t>
      </w:r>
      <w:proofErr w:type="spellStart"/>
      <w:r w:rsidR="009042DD">
        <w:rPr>
          <w:rFonts w:ascii="Bookman Old Style" w:hAnsi="Bookman Old Style" w:cs="Arial"/>
        </w:rPr>
        <w:t>Zakin</w:t>
      </w:r>
      <w:proofErr w:type="spellEnd"/>
      <w:r w:rsidR="009042DD">
        <w:rPr>
          <w:rFonts w:ascii="Bookman Old Style" w:hAnsi="Bookman Old Style" w:cs="Arial"/>
        </w:rPr>
        <w:t xml:space="preserve"> </w:t>
      </w:r>
      <w:proofErr w:type="spellStart"/>
      <w:r w:rsidR="009042DD">
        <w:rPr>
          <w:rFonts w:ascii="Bookman Old Style" w:hAnsi="Bookman Old Style" w:cs="Arial"/>
        </w:rPr>
        <w:t>Dania</w:t>
      </w:r>
      <w:proofErr w:type="spellEnd"/>
      <w:r w:rsidR="009042DD">
        <w:rPr>
          <w:rFonts w:ascii="Bookman Old Style" w:hAnsi="Bookman Old Style" w:cs="Arial"/>
        </w:rPr>
        <w:t xml:space="preserve"> auxquels s’ajoute </w:t>
      </w:r>
      <w:proofErr w:type="spellStart"/>
      <w:r w:rsidR="009042DD">
        <w:rPr>
          <w:rFonts w:ascii="Bookman Old Style" w:hAnsi="Bookman Old Style" w:cs="Arial"/>
        </w:rPr>
        <w:t>Kozga</w:t>
      </w:r>
      <w:proofErr w:type="spellEnd"/>
      <w:r w:rsidR="009042DD">
        <w:rPr>
          <w:rFonts w:ascii="Bookman Old Style" w:hAnsi="Bookman Old Style" w:cs="Arial"/>
        </w:rPr>
        <w:t xml:space="preserve"> qui n’établissent pas des PV de leurs Assemblées Générales.</w:t>
      </w:r>
    </w:p>
    <w:p w14:paraId="3DE22FBF" w14:textId="77777777" w:rsidR="009042DD" w:rsidRDefault="009042DD" w:rsidP="004B28D6">
      <w:pPr>
        <w:tabs>
          <w:tab w:val="left" w:pos="4402"/>
        </w:tabs>
        <w:spacing w:before="240" w:line="276" w:lineRule="auto"/>
        <w:jc w:val="both"/>
        <w:rPr>
          <w:rFonts w:ascii="Bookman Old Style" w:hAnsi="Bookman Old Style" w:cs="Arial"/>
        </w:rPr>
      </w:pPr>
    </w:p>
    <w:p w14:paraId="321781E6" w14:textId="290BB887" w:rsidR="008525FB" w:rsidRDefault="008525FB" w:rsidP="009F37E5">
      <w:pPr>
        <w:tabs>
          <w:tab w:val="left" w:pos="4402"/>
        </w:tabs>
        <w:spacing w:line="276" w:lineRule="auto"/>
        <w:jc w:val="center"/>
        <w:rPr>
          <w:rFonts w:ascii="Bookman Old Style" w:hAnsi="Bookman Old Style" w:cs="Arial"/>
        </w:rPr>
      </w:pPr>
      <w:r>
        <w:rPr>
          <w:noProof/>
        </w:rPr>
        <w:lastRenderedPageBreak/>
        <w:drawing>
          <wp:inline distT="0" distB="0" distL="0" distR="0" wp14:anchorId="41B2D68E" wp14:editId="13C5121E">
            <wp:extent cx="4572000" cy="2743200"/>
            <wp:effectExtent l="0" t="0" r="0" b="0"/>
            <wp:docPr id="30" name="Graphique 30">
              <a:extLst xmlns:a="http://schemas.openxmlformats.org/drawingml/2006/main">
                <a:ext uri="{FF2B5EF4-FFF2-40B4-BE49-F238E27FC236}">
                  <a16:creationId xmlns:a16="http://schemas.microsoft.com/office/drawing/2014/main" id="{DF655FA4-7202-453C-898B-C75C03937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774878" w14:textId="1A953E9C" w:rsidR="009F37E5" w:rsidRDefault="003D37B5" w:rsidP="003D37B5">
      <w:pPr>
        <w:pStyle w:val="Lgende"/>
        <w:rPr>
          <w:rFonts w:ascii="Bookman Old Style" w:hAnsi="Bookman Old Style" w:cs="Arial"/>
        </w:rPr>
      </w:pPr>
      <w:r>
        <w:t xml:space="preserve">                    </w:t>
      </w:r>
      <w:bookmarkStart w:id="83" w:name="_Toc97823248"/>
      <w:r w:rsidR="002840BC">
        <w:t xml:space="preserve">Figure </w:t>
      </w:r>
      <w:fldSimple w:instr=" SEQ Figure \* ARABIC ">
        <w:r w:rsidR="004F4E33">
          <w:rPr>
            <w:noProof/>
          </w:rPr>
          <w:t>35</w:t>
        </w:r>
      </w:fldSimple>
      <w:r w:rsidR="002840BC">
        <w:t> : Rédaction des PV des AG</w:t>
      </w:r>
      <w:bookmarkEnd w:id="83"/>
    </w:p>
    <w:p w14:paraId="614FA856" w14:textId="12B3824C" w:rsidR="00A50275" w:rsidRPr="001310BC" w:rsidRDefault="00DE639D" w:rsidP="0005354B">
      <w:pPr>
        <w:pStyle w:val="Titre3"/>
        <w:numPr>
          <w:ilvl w:val="2"/>
          <w:numId w:val="3"/>
        </w:numPr>
        <w:rPr>
          <w:rFonts w:ascii="Bookman Old Style" w:hAnsi="Bookman Old Style" w:cs="Arial"/>
          <w:i/>
          <w:iCs/>
        </w:rPr>
      </w:pPr>
      <w:bookmarkStart w:id="84" w:name="_Toc97822373"/>
      <w:r w:rsidRPr="001310BC">
        <w:rPr>
          <w:rFonts w:ascii="Bookman Old Style" w:hAnsi="Bookman Old Style" w:cs="Arial"/>
          <w:i/>
          <w:iCs/>
        </w:rPr>
        <w:t>Tenue des documents de gestion</w:t>
      </w:r>
      <w:bookmarkEnd w:id="84"/>
    </w:p>
    <w:p w14:paraId="48F38D80" w14:textId="4B5B6247" w:rsidR="00DE639D" w:rsidRDefault="009042DD" w:rsidP="001511EC">
      <w:pPr>
        <w:tabs>
          <w:tab w:val="left" w:pos="4402"/>
        </w:tabs>
        <w:spacing w:before="240" w:line="276" w:lineRule="auto"/>
        <w:jc w:val="both"/>
        <w:rPr>
          <w:rFonts w:ascii="Bookman Old Style" w:hAnsi="Bookman Old Style" w:cs="Arial"/>
        </w:rPr>
      </w:pPr>
      <w:r>
        <w:rPr>
          <w:rFonts w:ascii="Bookman Old Style" w:hAnsi="Bookman Old Style" w:cs="Arial"/>
        </w:rPr>
        <w:t xml:space="preserve">L’existence des documents de gestion </w:t>
      </w:r>
      <w:r w:rsidR="001511EC">
        <w:rPr>
          <w:rFonts w:ascii="Bookman Old Style" w:hAnsi="Bookman Old Style" w:cs="Arial"/>
        </w:rPr>
        <w:t>qui retracent les différents mouvements et qui renseignent sur comment les activités se sont déroulées sont indispensables pour la transparence de toute gestion d’un bien public. Néanmoins, la bonne tenue des documents est d’autant plus importante en ce qu’elle permet de reconstituer les opérations et permettent aux personnes extérieures à l’activité de se faire une idée de ce qui s’est déroulé.</w:t>
      </w:r>
    </w:p>
    <w:p w14:paraId="0BD60AF9" w14:textId="243EAA3A" w:rsidR="005124F4" w:rsidRDefault="005124F4" w:rsidP="001511EC">
      <w:pPr>
        <w:tabs>
          <w:tab w:val="left" w:pos="4402"/>
        </w:tabs>
        <w:spacing w:before="240" w:line="276" w:lineRule="auto"/>
        <w:jc w:val="both"/>
        <w:rPr>
          <w:rFonts w:ascii="Bookman Old Style" w:hAnsi="Bookman Old Style" w:cs="Arial"/>
        </w:rPr>
      </w:pPr>
      <w:r>
        <w:rPr>
          <w:rFonts w:ascii="Bookman Old Style" w:hAnsi="Bookman Old Style" w:cs="Arial"/>
        </w:rPr>
        <w:t xml:space="preserve">Le </w:t>
      </w:r>
      <w:r w:rsidR="00B91700">
        <w:rPr>
          <w:rFonts w:ascii="Bookman Old Style" w:hAnsi="Bookman Old Style" w:cs="Arial"/>
        </w:rPr>
        <w:t>figure</w:t>
      </w:r>
      <w:r>
        <w:rPr>
          <w:rFonts w:ascii="Bookman Old Style" w:hAnsi="Bookman Old Style" w:cs="Arial"/>
        </w:rPr>
        <w:t xml:space="preserve"> ci-dessous nous indique globalement une bonne tenue des documents de gestion de GFS (au moins 62%). Les documents non tenus du tout sont très insignifiant (moins de 6%) même si par ailleurs il est aussi important de les renseigner.</w:t>
      </w:r>
    </w:p>
    <w:p w14:paraId="170371D4" w14:textId="6F0E0B7E" w:rsidR="005124F4" w:rsidRDefault="005124F4" w:rsidP="005124F4">
      <w:pPr>
        <w:tabs>
          <w:tab w:val="left" w:pos="4402"/>
        </w:tabs>
        <w:spacing w:before="240" w:line="276" w:lineRule="auto"/>
        <w:jc w:val="center"/>
        <w:rPr>
          <w:rFonts w:ascii="Bookman Old Style" w:hAnsi="Bookman Old Style" w:cs="Arial"/>
        </w:rPr>
      </w:pPr>
      <w:r>
        <w:rPr>
          <w:noProof/>
        </w:rPr>
        <w:drawing>
          <wp:inline distT="0" distB="0" distL="0" distR="0" wp14:anchorId="08DBD54A" wp14:editId="74923CBD">
            <wp:extent cx="4572000" cy="2743200"/>
            <wp:effectExtent l="0" t="0" r="0" b="0"/>
            <wp:docPr id="33" name="Graphique 33">
              <a:extLst xmlns:a="http://schemas.openxmlformats.org/drawingml/2006/main">
                <a:ext uri="{FF2B5EF4-FFF2-40B4-BE49-F238E27FC236}">
                  <a16:creationId xmlns:a16="http://schemas.microsoft.com/office/drawing/2014/main" id="{AFD81C1A-1E67-43A0-918A-2F7363EB7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2FA066" w14:textId="3C8A586C" w:rsidR="002840BC" w:rsidRDefault="003D37B5" w:rsidP="003D37B5">
      <w:pPr>
        <w:pStyle w:val="Lgende"/>
        <w:rPr>
          <w:rFonts w:ascii="Bookman Old Style" w:hAnsi="Bookman Old Style" w:cs="Arial"/>
        </w:rPr>
      </w:pPr>
      <w:r>
        <w:t xml:space="preserve">                    </w:t>
      </w:r>
      <w:bookmarkStart w:id="85" w:name="_Toc97823249"/>
      <w:r w:rsidR="002840BC">
        <w:t xml:space="preserve">Figure </w:t>
      </w:r>
      <w:fldSimple w:instr=" SEQ Figure \* ARABIC ">
        <w:r w:rsidR="004F4E33">
          <w:rPr>
            <w:noProof/>
          </w:rPr>
          <w:t>36</w:t>
        </w:r>
      </w:fldSimple>
      <w:r w:rsidR="002840BC">
        <w:t> : Tenue des documents de gestion par les COGES</w:t>
      </w:r>
      <w:bookmarkEnd w:id="85"/>
    </w:p>
    <w:p w14:paraId="15CDEA44" w14:textId="5A8AD58E" w:rsidR="001511EC" w:rsidRDefault="001511EC" w:rsidP="002917AB">
      <w:pPr>
        <w:tabs>
          <w:tab w:val="left" w:pos="4402"/>
        </w:tabs>
        <w:spacing w:before="240" w:line="276" w:lineRule="auto"/>
        <w:jc w:val="both"/>
        <w:rPr>
          <w:rFonts w:ascii="Bookman Old Style" w:hAnsi="Bookman Old Style" w:cs="Arial"/>
        </w:rPr>
      </w:pPr>
      <w:r>
        <w:rPr>
          <w:rFonts w:ascii="Bookman Old Style" w:hAnsi="Bookman Old Style" w:cs="Arial"/>
        </w:rPr>
        <w:lastRenderedPageBreak/>
        <w:t xml:space="preserve">Le </w:t>
      </w:r>
      <w:r w:rsidR="002917AB">
        <w:rPr>
          <w:rFonts w:ascii="Bookman Old Style" w:hAnsi="Bookman Old Style" w:cs="Arial"/>
        </w:rPr>
        <w:t>tableau</w:t>
      </w:r>
      <w:r>
        <w:rPr>
          <w:rFonts w:ascii="Bookman Old Style" w:hAnsi="Bookman Old Style" w:cs="Arial"/>
        </w:rPr>
        <w:t xml:space="preserve"> suivant nous </w:t>
      </w:r>
      <w:r w:rsidR="002917AB">
        <w:rPr>
          <w:rFonts w:ascii="Bookman Old Style" w:hAnsi="Bookman Old Style" w:cs="Arial"/>
        </w:rPr>
        <w:t xml:space="preserve">montre </w:t>
      </w:r>
      <w:r w:rsidR="00CB4FCF">
        <w:rPr>
          <w:rFonts w:ascii="Bookman Old Style" w:hAnsi="Bookman Old Style" w:cs="Arial"/>
        </w:rPr>
        <w:t>par région</w:t>
      </w:r>
      <w:r w:rsidR="002917AB">
        <w:rPr>
          <w:rFonts w:ascii="Bookman Old Style" w:hAnsi="Bookman Old Style" w:cs="Arial"/>
        </w:rPr>
        <w:t xml:space="preserve"> que la bonne tenue des documents varie de 33% à Maradi à 97% à Zinder. En effet, un effort de renforcement des capacités et d’appui-conseil est nécessaire pour les COGES GFS de Maradi afin relever le niveau de bon remplissage des documents. On relève </w:t>
      </w:r>
      <w:r w:rsidR="00704B05">
        <w:rPr>
          <w:rFonts w:ascii="Bookman Old Style" w:hAnsi="Bookman Old Style" w:cs="Arial"/>
        </w:rPr>
        <w:t xml:space="preserve">à </w:t>
      </w:r>
      <w:r w:rsidR="00CB4FCF">
        <w:rPr>
          <w:rFonts w:ascii="Bookman Old Style" w:hAnsi="Bookman Old Style" w:cs="Arial"/>
        </w:rPr>
        <w:t>Dara (</w:t>
      </w:r>
      <w:r w:rsidR="00704B05">
        <w:rPr>
          <w:rFonts w:ascii="Bookman Old Style" w:hAnsi="Bookman Old Style" w:cs="Arial"/>
        </w:rPr>
        <w:t>Tahoua</w:t>
      </w:r>
      <w:r w:rsidR="00CB4FCF">
        <w:rPr>
          <w:rFonts w:ascii="Bookman Old Style" w:hAnsi="Bookman Old Style" w:cs="Arial"/>
        </w:rPr>
        <w:t>) que le cahier de distribution et celui de</w:t>
      </w:r>
      <w:r w:rsidR="00DA224C">
        <w:rPr>
          <w:rFonts w:ascii="Bookman Old Style" w:hAnsi="Bookman Old Style" w:cs="Arial"/>
        </w:rPr>
        <w:t xml:space="preserve"> gestion de stock ne sont pas du tout remplis.</w:t>
      </w:r>
      <w:r w:rsidR="00CB4FCF">
        <w:rPr>
          <w:rFonts w:ascii="Bookman Old Style" w:hAnsi="Bookman Old Style" w:cs="Arial"/>
        </w:rPr>
        <w:t xml:space="preserve"> </w:t>
      </w:r>
    </w:p>
    <w:p w14:paraId="2F4B4C92" w14:textId="77777777" w:rsidR="004D723C" w:rsidRDefault="004D723C" w:rsidP="007B5322">
      <w:pPr>
        <w:tabs>
          <w:tab w:val="left" w:pos="4402"/>
        </w:tabs>
        <w:spacing w:line="276" w:lineRule="auto"/>
        <w:jc w:val="both"/>
        <w:rPr>
          <w:rFonts w:ascii="Bookman Old Style" w:hAnsi="Bookman Old Style" w:cs="Arial"/>
        </w:rPr>
      </w:pPr>
    </w:p>
    <w:p w14:paraId="035B6525" w14:textId="69CE2122" w:rsidR="00E765DF" w:rsidRDefault="004D723C" w:rsidP="00B4164B">
      <w:pPr>
        <w:pStyle w:val="Lgende"/>
        <w:spacing w:after="0"/>
        <w:rPr>
          <w:rFonts w:ascii="Bookman Old Style" w:hAnsi="Bookman Old Style" w:cs="Arial"/>
        </w:rPr>
      </w:pPr>
      <w:bookmarkStart w:id="86" w:name="_Toc97822388"/>
      <w:r>
        <w:t xml:space="preserve">Tableau </w:t>
      </w:r>
      <w:fldSimple w:instr=" SEQ Tableau \* ARABIC ">
        <w:r w:rsidR="00275B4D">
          <w:rPr>
            <w:noProof/>
          </w:rPr>
          <w:t>9</w:t>
        </w:r>
      </w:fldSimple>
      <w:r>
        <w:t> : Tenue des documents de gestion selon les régions</w:t>
      </w:r>
      <w:bookmarkEnd w:id="86"/>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307"/>
        <w:gridCol w:w="1510"/>
        <w:gridCol w:w="1295"/>
        <w:gridCol w:w="1441"/>
        <w:gridCol w:w="754"/>
        <w:gridCol w:w="1210"/>
      </w:tblGrid>
      <w:tr w:rsidR="00A50275" w:rsidRPr="00A50275" w14:paraId="48ED0571" w14:textId="77777777" w:rsidTr="00803934">
        <w:trPr>
          <w:trHeight w:val="540"/>
          <w:tblHeader/>
        </w:trPr>
        <w:tc>
          <w:tcPr>
            <w:tcW w:w="2263" w:type="dxa"/>
            <w:shd w:val="clear" w:color="000000" w:fill="D9E7FD"/>
            <w:noWrap/>
            <w:vAlign w:val="center"/>
            <w:hideMark/>
          </w:tcPr>
          <w:p w14:paraId="7B36499A" w14:textId="77777777" w:rsidR="00A50275" w:rsidRPr="00A50275" w:rsidRDefault="00A50275" w:rsidP="00A50275">
            <w:pPr>
              <w:jc w:val="center"/>
              <w:rPr>
                <w:rFonts w:ascii="Arial" w:hAnsi="Arial" w:cs="Arial"/>
                <w:b/>
                <w:bCs/>
                <w:color w:val="000000"/>
                <w:sz w:val="20"/>
                <w:szCs w:val="20"/>
              </w:rPr>
            </w:pPr>
            <w:r w:rsidRPr="00A50275">
              <w:rPr>
                <w:rFonts w:ascii="Arial" w:hAnsi="Arial" w:cs="Arial"/>
                <w:b/>
                <w:bCs/>
                <w:color w:val="000000"/>
                <w:sz w:val="20"/>
                <w:szCs w:val="20"/>
              </w:rPr>
              <w:t>Régions</w:t>
            </w:r>
          </w:p>
        </w:tc>
        <w:tc>
          <w:tcPr>
            <w:tcW w:w="1307" w:type="dxa"/>
            <w:shd w:val="clear" w:color="000000" w:fill="D9E7FD"/>
            <w:vAlign w:val="center"/>
            <w:hideMark/>
          </w:tcPr>
          <w:p w14:paraId="6CB2A00A" w14:textId="77777777" w:rsidR="00A50275" w:rsidRPr="00A50275" w:rsidRDefault="00A50275" w:rsidP="00A50275">
            <w:pPr>
              <w:jc w:val="center"/>
              <w:rPr>
                <w:rFonts w:ascii="Arial" w:hAnsi="Arial" w:cs="Arial"/>
                <w:b/>
                <w:bCs/>
                <w:color w:val="000000"/>
                <w:sz w:val="20"/>
                <w:szCs w:val="20"/>
              </w:rPr>
            </w:pPr>
            <w:r w:rsidRPr="00A50275">
              <w:rPr>
                <w:rFonts w:ascii="Arial" w:hAnsi="Arial" w:cs="Arial"/>
                <w:b/>
                <w:bCs/>
                <w:color w:val="000000"/>
                <w:sz w:val="20"/>
                <w:szCs w:val="20"/>
              </w:rPr>
              <w:t xml:space="preserve">Cahier de </w:t>
            </w:r>
            <w:r w:rsidRPr="00A50275">
              <w:rPr>
                <w:rFonts w:ascii="Arial" w:hAnsi="Arial" w:cs="Arial"/>
                <w:b/>
                <w:bCs/>
                <w:color w:val="000000"/>
                <w:sz w:val="20"/>
                <w:szCs w:val="20"/>
              </w:rPr>
              <w:br/>
              <w:t>distribution</w:t>
            </w:r>
          </w:p>
        </w:tc>
        <w:tc>
          <w:tcPr>
            <w:tcW w:w="1510" w:type="dxa"/>
            <w:shd w:val="clear" w:color="000000" w:fill="D9E7FD"/>
            <w:vAlign w:val="center"/>
            <w:hideMark/>
          </w:tcPr>
          <w:p w14:paraId="1BB28CA8" w14:textId="77777777" w:rsidR="00A50275" w:rsidRPr="00A50275" w:rsidRDefault="00A50275" w:rsidP="00A50275">
            <w:pPr>
              <w:jc w:val="center"/>
              <w:rPr>
                <w:rFonts w:ascii="Arial" w:hAnsi="Arial" w:cs="Arial"/>
                <w:b/>
                <w:bCs/>
                <w:color w:val="000000"/>
                <w:sz w:val="20"/>
                <w:szCs w:val="20"/>
              </w:rPr>
            </w:pPr>
            <w:r w:rsidRPr="00A50275">
              <w:rPr>
                <w:rFonts w:ascii="Arial" w:hAnsi="Arial" w:cs="Arial"/>
                <w:b/>
                <w:bCs/>
                <w:color w:val="000000"/>
                <w:sz w:val="20"/>
                <w:szCs w:val="20"/>
              </w:rPr>
              <w:t>Cahier de recouvrement</w:t>
            </w:r>
          </w:p>
        </w:tc>
        <w:tc>
          <w:tcPr>
            <w:tcW w:w="1295" w:type="dxa"/>
            <w:shd w:val="clear" w:color="000000" w:fill="D9E7FD"/>
            <w:vAlign w:val="center"/>
            <w:hideMark/>
          </w:tcPr>
          <w:p w14:paraId="2BCAC799" w14:textId="77777777" w:rsidR="00A50275" w:rsidRPr="00A50275" w:rsidRDefault="00A50275" w:rsidP="00A50275">
            <w:pPr>
              <w:jc w:val="center"/>
              <w:rPr>
                <w:rFonts w:ascii="Arial" w:hAnsi="Arial" w:cs="Arial"/>
                <w:b/>
                <w:bCs/>
                <w:color w:val="000000"/>
                <w:sz w:val="20"/>
                <w:szCs w:val="20"/>
              </w:rPr>
            </w:pPr>
            <w:r w:rsidRPr="00A50275">
              <w:rPr>
                <w:rFonts w:ascii="Arial" w:hAnsi="Arial" w:cs="Arial"/>
                <w:b/>
                <w:bCs/>
                <w:color w:val="000000"/>
                <w:sz w:val="20"/>
                <w:szCs w:val="20"/>
              </w:rPr>
              <w:t>Cahier de gestion stock</w:t>
            </w:r>
          </w:p>
        </w:tc>
        <w:tc>
          <w:tcPr>
            <w:tcW w:w="1441" w:type="dxa"/>
            <w:shd w:val="clear" w:color="000000" w:fill="D9E7FD"/>
            <w:vAlign w:val="center"/>
            <w:hideMark/>
          </w:tcPr>
          <w:p w14:paraId="4224C004" w14:textId="77777777" w:rsidR="00553DCE" w:rsidRDefault="00A50275" w:rsidP="00A50275">
            <w:pPr>
              <w:jc w:val="center"/>
              <w:rPr>
                <w:rFonts w:ascii="Arial" w:hAnsi="Arial" w:cs="Arial"/>
                <w:b/>
                <w:bCs/>
                <w:color w:val="000000"/>
                <w:sz w:val="20"/>
                <w:szCs w:val="20"/>
              </w:rPr>
            </w:pPr>
            <w:r w:rsidRPr="00A50275">
              <w:rPr>
                <w:rFonts w:ascii="Arial" w:hAnsi="Arial" w:cs="Arial"/>
                <w:b/>
                <w:bCs/>
                <w:color w:val="000000"/>
                <w:sz w:val="20"/>
                <w:szCs w:val="20"/>
              </w:rPr>
              <w:t xml:space="preserve">Registre </w:t>
            </w:r>
          </w:p>
          <w:p w14:paraId="1D5805C3" w14:textId="217C8C72" w:rsidR="00A50275" w:rsidRPr="00A50275" w:rsidRDefault="00A50275" w:rsidP="00A50275">
            <w:pPr>
              <w:jc w:val="center"/>
              <w:rPr>
                <w:rFonts w:ascii="Arial" w:hAnsi="Arial" w:cs="Arial"/>
                <w:b/>
                <w:bCs/>
                <w:color w:val="000000"/>
                <w:sz w:val="20"/>
                <w:szCs w:val="20"/>
              </w:rPr>
            </w:pPr>
            <w:proofErr w:type="gramStart"/>
            <w:r w:rsidRPr="00A50275">
              <w:rPr>
                <w:rFonts w:ascii="Arial" w:hAnsi="Arial" w:cs="Arial"/>
                <w:b/>
                <w:bCs/>
                <w:color w:val="000000"/>
                <w:sz w:val="20"/>
                <w:szCs w:val="20"/>
              </w:rPr>
              <w:t>des</w:t>
            </w:r>
            <w:proofErr w:type="gramEnd"/>
            <w:r w:rsidRPr="00A50275">
              <w:rPr>
                <w:rFonts w:ascii="Arial" w:hAnsi="Arial" w:cs="Arial"/>
                <w:b/>
                <w:bCs/>
                <w:color w:val="000000"/>
                <w:sz w:val="20"/>
                <w:szCs w:val="20"/>
              </w:rPr>
              <w:t xml:space="preserve"> membres</w:t>
            </w:r>
          </w:p>
        </w:tc>
        <w:tc>
          <w:tcPr>
            <w:tcW w:w="754" w:type="dxa"/>
            <w:shd w:val="clear" w:color="000000" w:fill="D9E7FD"/>
            <w:vAlign w:val="center"/>
            <w:hideMark/>
          </w:tcPr>
          <w:p w14:paraId="54E1C0C3" w14:textId="77777777" w:rsidR="00A50275" w:rsidRPr="00A50275" w:rsidRDefault="00A50275" w:rsidP="00A50275">
            <w:pPr>
              <w:jc w:val="center"/>
              <w:rPr>
                <w:rFonts w:ascii="Arial" w:hAnsi="Arial" w:cs="Arial"/>
                <w:b/>
                <w:bCs/>
                <w:color w:val="000000"/>
                <w:sz w:val="20"/>
                <w:szCs w:val="20"/>
              </w:rPr>
            </w:pPr>
            <w:r w:rsidRPr="00A50275">
              <w:rPr>
                <w:rFonts w:ascii="Arial" w:hAnsi="Arial" w:cs="Arial"/>
                <w:b/>
                <w:bCs/>
                <w:color w:val="000000"/>
                <w:sz w:val="20"/>
                <w:szCs w:val="20"/>
              </w:rPr>
              <w:t>Total</w:t>
            </w:r>
          </w:p>
        </w:tc>
        <w:tc>
          <w:tcPr>
            <w:tcW w:w="1210" w:type="dxa"/>
            <w:shd w:val="clear" w:color="000000" w:fill="D9E7FD"/>
            <w:vAlign w:val="center"/>
            <w:hideMark/>
          </w:tcPr>
          <w:p w14:paraId="73ACD825" w14:textId="77777777" w:rsidR="00A50275" w:rsidRPr="00A50275" w:rsidRDefault="00A50275" w:rsidP="00A50275">
            <w:pPr>
              <w:jc w:val="center"/>
              <w:rPr>
                <w:rFonts w:ascii="Arial" w:hAnsi="Arial" w:cs="Arial"/>
                <w:b/>
                <w:bCs/>
                <w:color w:val="000000"/>
                <w:sz w:val="20"/>
                <w:szCs w:val="20"/>
              </w:rPr>
            </w:pPr>
            <w:r w:rsidRPr="00A50275">
              <w:rPr>
                <w:rFonts w:ascii="Arial" w:hAnsi="Arial" w:cs="Arial"/>
                <w:b/>
                <w:bCs/>
                <w:color w:val="000000"/>
                <w:sz w:val="20"/>
                <w:szCs w:val="20"/>
              </w:rPr>
              <w:t>Proportion %</w:t>
            </w:r>
          </w:p>
        </w:tc>
      </w:tr>
      <w:tr w:rsidR="00A50275" w:rsidRPr="00A50275" w14:paraId="1A7B3A0D" w14:textId="77777777" w:rsidTr="00A50275">
        <w:trPr>
          <w:trHeight w:val="300"/>
        </w:trPr>
        <w:tc>
          <w:tcPr>
            <w:tcW w:w="2263" w:type="dxa"/>
            <w:shd w:val="clear" w:color="000000" w:fill="FDE49B"/>
            <w:noWrap/>
            <w:vAlign w:val="center"/>
            <w:hideMark/>
          </w:tcPr>
          <w:p w14:paraId="47F69F96" w14:textId="77777777" w:rsidR="00A50275" w:rsidRPr="00A50275" w:rsidRDefault="00A50275" w:rsidP="00A50275">
            <w:pPr>
              <w:rPr>
                <w:rFonts w:ascii="Arial" w:hAnsi="Arial" w:cs="Arial"/>
                <w:b/>
                <w:bCs/>
                <w:color w:val="000000"/>
                <w:sz w:val="20"/>
                <w:szCs w:val="20"/>
              </w:rPr>
            </w:pPr>
            <w:r w:rsidRPr="00A50275">
              <w:rPr>
                <w:rFonts w:ascii="Arial" w:hAnsi="Arial" w:cs="Arial"/>
                <w:b/>
                <w:bCs/>
                <w:color w:val="000000"/>
                <w:sz w:val="20"/>
                <w:szCs w:val="20"/>
              </w:rPr>
              <w:t>Maradi</w:t>
            </w:r>
          </w:p>
        </w:tc>
        <w:tc>
          <w:tcPr>
            <w:tcW w:w="1307" w:type="dxa"/>
            <w:shd w:val="clear" w:color="000000" w:fill="FDE49B"/>
            <w:noWrap/>
            <w:vAlign w:val="center"/>
            <w:hideMark/>
          </w:tcPr>
          <w:p w14:paraId="5B5507AB"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7</w:t>
            </w:r>
          </w:p>
        </w:tc>
        <w:tc>
          <w:tcPr>
            <w:tcW w:w="1510" w:type="dxa"/>
            <w:shd w:val="clear" w:color="000000" w:fill="FDE49B"/>
            <w:vAlign w:val="center"/>
            <w:hideMark/>
          </w:tcPr>
          <w:p w14:paraId="68142494"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8</w:t>
            </w:r>
          </w:p>
        </w:tc>
        <w:tc>
          <w:tcPr>
            <w:tcW w:w="1295" w:type="dxa"/>
            <w:shd w:val="clear" w:color="000000" w:fill="FDE49B"/>
            <w:vAlign w:val="center"/>
            <w:hideMark/>
          </w:tcPr>
          <w:p w14:paraId="67CC2C76"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7</w:t>
            </w:r>
          </w:p>
        </w:tc>
        <w:tc>
          <w:tcPr>
            <w:tcW w:w="1441" w:type="dxa"/>
            <w:shd w:val="clear" w:color="000000" w:fill="FDE49B"/>
            <w:vAlign w:val="center"/>
            <w:hideMark/>
          </w:tcPr>
          <w:p w14:paraId="1ED29DE2"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8</w:t>
            </w:r>
          </w:p>
        </w:tc>
        <w:tc>
          <w:tcPr>
            <w:tcW w:w="754" w:type="dxa"/>
            <w:shd w:val="clear" w:color="000000" w:fill="FDE49B"/>
            <w:vAlign w:val="center"/>
            <w:hideMark/>
          </w:tcPr>
          <w:p w14:paraId="10FFB9FA"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30</w:t>
            </w:r>
          </w:p>
        </w:tc>
        <w:tc>
          <w:tcPr>
            <w:tcW w:w="1210" w:type="dxa"/>
            <w:shd w:val="clear" w:color="000000" w:fill="FDE49B"/>
            <w:vAlign w:val="center"/>
            <w:hideMark/>
          </w:tcPr>
          <w:p w14:paraId="3D8E5B40"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100%</w:t>
            </w:r>
          </w:p>
        </w:tc>
      </w:tr>
      <w:tr w:rsidR="00A50275" w:rsidRPr="00A50275" w14:paraId="2C900425" w14:textId="77777777" w:rsidTr="00A50275">
        <w:trPr>
          <w:trHeight w:val="300"/>
        </w:trPr>
        <w:tc>
          <w:tcPr>
            <w:tcW w:w="2263" w:type="dxa"/>
            <w:shd w:val="clear" w:color="auto" w:fill="auto"/>
            <w:noWrap/>
            <w:vAlign w:val="center"/>
            <w:hideMark/>
          </w:tcPr>
          <w:p w14:paraId="19D22574" w14:textId="15E89485"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Bien</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2DF38D23"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2</w:t>
            </w:r>
          </w:p>
        </w:tc>
        <w:tc>
          <w:tcPr>
            <w:tcW w:w="1510" w:type="dxa"/>
            <w:shd w:val="clear" w:color="auto" w:fill="auto"/>
            <w:vAlign w:val="center"/>
            <w:hideMark/>
          </w:tcPr>
          <w:p w14:paraId="737A41D1"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3</w:t>
            </w:r>
          </w:p>
        </w:tc>
        <w:tc>
          <w:tcPr>
            <w:tcW w:w="1295" w:type="dxa"/>
            <w:shd w:val="clear" w:color="auto" w:fill="auto"/>
            <w:vAlign w:val="center"/>
            <w:hideMark/>
          </w:tcPr>
          <w:p w14:paraId="343BE16B"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2</w:t>
            </w:r>
          </w:p>
        </w:tc>
        <w:tc>
          <w:tcPr>
            <w:tcW w:w="1441" w:type="dxa"/>
            <w:shd w:val="clear" w:color="auto" w:fill="auto"/>
            <w:vAlign w:val="center"/>
            <w:hideMark/>
          </w:tcPr>
          <w:p w14:paraId="78438E53"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3</w:t>
            </w:r>
          </w:p>
        </w:tc>
        <w:tc>
          <w:tcPr>
            <w:tcW w:w="754" w:type="dxa"/>
            <w:shd w:val="clear" w:color="auto" w:fill="auto"/>
            <w:vAlign w:val="center"/>
            <w:hideMark/>
          </w:tcPr>
          <w:p w14:paraId="52B7F8CB"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10</w:t>
            </w:r>
          </w:p>
        </w:tc>
        <w:tc>
          <w:tcPr>
            <w:tcW w:w="1210" w:type="dxa"/>
            <w:shd w:val="clear" w:color="auto" w:fill="auto"/>
            <w:vAlign w:val="center"/>
            <w:hideMark/>
          </w:tcPr>
          <w:p w14:paraId="76D05A49"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33%</w:t>
            </w:r>
          </w:p>
        </w:tc>
      </w:tr>
      <w:tr w:rsidR="00A50275" w:rsidRPr="00A50275" w14:paraId="7FF33249" w14:textId="77777777" w:rsidTr="00A50275">
        <w:trPr>
          <w:trHeight w:val="300"/>
        </w:trPr>
        <w:tc>
          <w:tcPr>
            <w:tcW w:w="2263" w:type="dxa"/>
            <w:shd w:val="clear" w:color="auto" w:fill="auto"/>
            <w:noWrap/>
            <w:vAlign w:val="center"/>
            <w:hideMark/>
          </w:tcPr>
          <w:p w14:paraId="4155929C" w14:textId="51E40E36"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Moyennement</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0AE6365A"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5</w:t>
            </w:r>
          </w:p>
        </w:tc>
        <w:tc>
          <w:tcPr>
            <w:tcW w:w="1510" w:type="dxa"/>
            <w:shd w:val="clear" w:color="auto" w:fill="auto"/>
            <w:vAlign w:val="center"/>
            <w:hideMark/>
          </w:tcPr>
          <w:p w14:paraId="3CBFDFB4"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5</w:t>
            </w:r>
          </w:p>
        </w:tc>
        <w:tc>
          <w:tcPr>
            <w:tcW w:w="1295" w:type="dxa"/>
            <w:shd w:val="clear" w:color="auto" w:fill="auto"/>
            <w:vAlign w:val="center"/>
            <w:hideMark/>
          </w:tcPr>
          <w:p w14:paraId="27F5E165"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5</w:t>
            </w:r>
          </w:p>
        </w:tc>
        <w:tc>
          <w:tcPr>
            <w:tcW w:w="1441" w:type="dxa"/>
            <w:shd w:val="clear" w:color="auto" w:fill="auto"/>
            <w:vAlign w:val="center"/>
            <w:hideMark/>
          </w:tcPr>
          <w:p w14:paraId="1ED4B3D7"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5</w:t>
            </w:r>
          </w:p>
        </w:tc>
        <w:tc>
          <w:tcPr>
            <w:tcW w:w="754" w:type="dxa"/>
            <w:shd w:val="clear" w:color="auto" w:fill="auto"/>
            <w:vAlign w:val="center"/>
            <w:hideMark/>
          </w:tcPr>
          <w:p w14:paraId="6103F1E8"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20</w:t>
            </w:r>
          </w:p>
        </w:tc>
        <w:tc>
          <w:tcPr>
            <w:tcW w:w="1210" w:type="dxa"/>
            <w:shd w:val="clear" w:color="auto" w:fill="auto"/>
            <w:vAlign w:val="center"/>
            <w:hideMark/>
          </w:tcPr>
          <w:p w14:paraId="6F6430F6"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67%</w:t>
            </w:r>
          </w:p>
        </w:tc>
      </w:tr>
      <w:tr w:rsidR="00A50275" w:rsidRPr="00A50275" w14:paraId="716EFFBB" w14:textId="77777777" w:rsidTr="00A50275">
        <w:trPr>
          <w:trHeight w:val="300"/>
        </w:trPr>
        <w:tc>
          <w:tcPr>
            <w:tcW w:w="2263" w:type="dxa"/>
            <w:shd w:val="clear" w:color="auto" w:fill="auto"/>
            <w:noWrap/>
            <w:vAlign w:val="center"/>
            <w:hideMark/>
          </w:tcPr>
          <w:p w14:paraId="1FE58EB0" w14:textId="6805491B"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Pas</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449FBB19"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510" w:type="dxa"/>
            <w:shd w:val="clear" w:color="auto" w:fill="auto"/>
            <w:vAlign w:val="center"/>
            <w:hideMark/>
          </w:tcPr>
          <w:p w14:paraId="3ED97AA9"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295" w:type="dxa"/>
            <w:shd w:val="clear" w:color="auto" w:fill="auto"/>
            <w:vAlign w:val="center"/>
            <w:hideMark/>
          </w:tcPr>
          <w:p w14:paraId="3843714C"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441" w:type="dxa"/>
            <w:shd w:val="clear" w:color="auto" w:fill="auto"/>
            <w:vAlign w:val="center"/>
            <w:hideMark/>
          </w:tcPr>
          <w:p w14:paraId="0E5E4A87"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754" w:type="dxa"/>
            <w:shd w:val="clear" w:color="auto" w:fill="auto"/>
            <w:vAlign w:val="center"/>
            <w:hideMark/>
          </w:tcPr>
          <w:p w14:paraId="525DCF52"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210" w:type="dxa"/>
            <w:shd w:val="clear" w:color="auto" w:fill="auto"/>
            <w:vAlign w:val="center"/>
            <w:hideMark/>
          </w:tcPr>
          <w:p w14:paraId="73E7520E"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r>
      <w:tr w:rsidR="00A50275" w:rsidRPr="00A50275" w14:paraId="443016AA" w14:textId="77777777" w:rsidTr="00A50275">
        <w:trPr>
          <w:trHeight w:val="300"/>
        </w:trPr>
        <w:tc>
          <w:tcPr>
            <w:tcW w:w="2263" w:type="dxa"/>
            <w:shd w:val="clear" w:color="000000" w:fill="FDE49B"/>
            <w:noWrap/>
            <w:vAlign w:val="center"/>
            <w:hideMark/>
          </w:tcPr>
          <w:p w14:paraId="21C43308" w14:textId="77777777" w:rsidR="00A50275" w:rsidRPr="00A50275" w:rsidRDefault="00A50275" w:rsidP="00A50275">
            <w:pPr>
              <w:rPr>
                <w:rFonts w:ascii="Arial" w:hAnsi="Arial" w:cs="Arial"/>
                <w:b/>
                <w:bCs/>
                <w:color w:val="000000"/>
                <w:sz w:val="20"/>
                <w:szCs w:val="20"/>
              </w:rPr>
            </w:pPr>
            <w:r w:rsidRPr="00A50275">
              <w:rPr>
                <w:rFonts w:ascii="Arial" w:hAnsi="Arial" w:cs="Arial"/>
                <w:b/>
                <w:bCs/>
                <w:color w:val="000000"/>
                <w:sz w:val="20"/>
                <w:szCs w:val="20"/>
              </w:rPr>
              <w:t>Tahoua</w:t>
            </w:r>
          </w:p>
        </w:tc>
        <w:tc>
          <w:tcPr>
            <w:tcW w:w="1307" w:type="dxa"/>
            <w:shd w:val="clear" w:color="000000" w:fill="FDE49B"/>
            <w:noWrap/>
            <w:vAlign w:val="center"/>
            <w:hideMark/>
          </w:tcPr>
          <w:p w14:paraId="7EE6783E"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7</w:t>
            </w:r>
          </w:p>
        </w:tc>
        <w:tc>
          <w:tcPr>
            <w:tcW w:w="1510" w:type="dxa"/>
            <w:shd w:val="clear" w:color="000000" w:fill="FDE49B"/>
            <w:vAlign w:val="center"/>
            <w:hideMark/>
          </w:tcPr>
          <w:p w14:paraId="6A9FE785"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7</w:t>
            </w:r>
          </w:p>
        </w:tc>
        <w:tc>
          <w:tcPr>
            <w:tcW w:w="1295" w:type="dxa"/>
            <w:shd w:val="clear" w:color="000000" w:fill="FDE49B"/>
            <w:vAlign w:val="center"/>
            <w:hideMark/>
          </w:tcPr>
          <w:p w14:paraId="1381C30B"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6</w:t>
            </w:r>
          </w:p>
        </w:tc>
        <w:tc>
          <w:tcPr>
            <w:tcW w:w="1441" w:type="dxa"/>
            <w:shd w:val="clear" w:color="000000" w:fill="FDE49B"/>
            <w:vAlign w:val="center"/>
            <w:hideMark/>
          </w:tcPr>
          <w:p w14:paraId="74243BC8"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8</w:t>
            </w:r>
          </w:p>
        </w:tc>
        <w:tc>
          <w:tcPr>
            <w:tcW w:w="754" w:type="dxa"/>
            <w:shd w:val="clear" w:color="000000" w:fill="FDE49B"/>
            <w:vAlign w:val="center"/>
            <w:hideMark/>
          </w:tcPr>
          <w:p w14:paraId="2D16701A"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28</w:t>
            </w:r>
          </w:p>
        </w:tc>
        <w:tc>
          <w:tcPr>
            <w:tcW w:w="1210" w:type="dxa"/>
            <w:shd w:val="clear" w:color="000000" w:fill="FDE49B"/>
            <w:vAlign w:val="center"/>
            <w:hideMark/>
          </w:tcPr>
          <w:p w14:paraId="50D76671"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100%</w:t>
            </w:r>
          </w:p>
        </w:tc>
      </w:tr>
      <w:tr w:rsidR="00A50275" w:rsidRPr="00A50275" w14:paraId="7CFCD8C9" w14:textId="77777777" w:rsidTr="00A50275">
        <w:trPr>
          <w:trHeight w:val="300"/>
        </w:trPr>
        <w:tc>
          <w:tcPr>
            <w:tcW w:w="2263" w:type="dxa"/>
            <w:shd w:val="clear" w:color="auto" w:fill="auto"/>
            <w:noWrap/>
            <w:vAlign w:val="center"/>
            <w:hideMark/>
          </w:tcPr>
          <w:p w14:paraId="7C260317" w14:textId="1EDC7F22"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Bien</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5951782C"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4</w:t>
            </w:r>
          </w:p>
        </w:tc>
        <w:tc>
          <w:tcPr>
            <w:tcW w:w="1510" w:type="dxa"/>
            <w:shd w:val="clear" w:color="auto" w:fill="auto"/>
            <w:vAlign w:val="center"/>
            <w:hideMark/>
          </w:tcPr>
          <w:p w14:paraId="257C22B4"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6</w:t>
            </w:r>
          </w:p>
        </w:tc>
        <w:tc>
          <w:tcPr>
            <w:tcW w:w="1295" w:type="dxa"/>
            <w:shd w:val="clear" w:color="auto" w:fill="auto"/>
            <w:vAlign w:val="center"/>
            <w:hideMark/>
          </w:tcPr>
          <w:p w14:paraId="264C0A64"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5</w:t>
            </w:r>
          </w:p>
        </w:tc>
        <w:tc>
          <w:tcPr>
            <w:tcW w:w="1441" w:type="dxa"/>
            <w:shd w:val="clear" w:color="auto" w:fill="auto"/>
            <w:vAlign w:val="center"/>
            <w:hideMark/>
          </w:tcPr>
          <w:p w14:paraId="4E375E3E"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6</w:t>
            </w:r>
          </w:p>
        </w:tc>
        <w:tc>
          <w:tcPr>
            <w:tcW w:w="754" w:type="dxa"/>
            <w:shd w:val="clear" w:color="auto" w:fill="auto"/>
            <w:vAlign w:val="center"/>
            <w:hideMark/>
          </w:tcPr>
          <w:p w14:paraId="3D27480A"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21</w:t>
            </w:r>
          </w:p>
        </w:tc>
        <w:tc>
          <w:tcPr>
            <w:tcW w:w="1210" w:type="dxa"/>
            <w:shd w:val="clear" w:color="auto" w:fill="auto"/>
            <w:vAlign w:val="center"/>
            <w:hideMark/>
          </w:tcPr>
          <w:p w14:paraId="27038778"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75%</w:t>
            </w:r>
          </w:p>
        </w:tc>
      </w:tr>
      <w:tr w:rsidR="00A50275" w:rsidRPr="00A50275" w14:paraId="7D5DC129" w14:textId="77777777" w:rsidTr="00A50275">
        <w:trPr>
          <w:trHeight w:val="300"/>
        </w:trPr>
        <w:tc>
          <w:tcPr>
            <w:tcW w:w="2263" w:type="dxa"/>
            <w:shd w:val="clear" w:color="auto" w:fill="auto"/>
            <w:noWrap/>
            <w:vAlign w:val="center"/>
            <w:hideMark/>
          </w:tcPr>
          <w:p w14:paraId="7A73A121" w14:textId="3582AF63"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Moyennement</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40F95B2F"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2</w:t>
            </w:r>
          </w:p>
        </w:tc>
        <w:tc>
          <w:tcPr>
            <w:tcW w:w="1510" w:type="dxa"/>
            <w:shd w:val="clear" w:color="auto" w:fill="auto"/>
            <w:vAlign w:val="center"/>
            <w:hideMark/>
          </w:tcPr>
          <w:p w14:paraId="392BFF01"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1</w:t>
            </w:r>
          </w:p>
        </w:tc>
        <w:tc>
          <w:tcPr>
            <w:tcW w:w="1295" w:type="dxa"/>
            <w:shd w:val="clear" w:color="auto" w:fill="auto"/>
            <w:vAlign w:val="center"/>
            <w:hideMark/>
          </w:tcPr>
          <w:p w14:paraId="67E2968A"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441" w:type="dxa"/>
            <w:shd w:val="clear" w:color="auto" w:fill="auto"/>
            <w:vAlign w:val="center"/>
            <w:hideMark/>
          </w:tcPr>
          <w:p w14:paraId="7AB6096A"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2</w:t>
            </w:r>
          </w:p>
        </w:tc>
        <w:tc>
          <w:tcPr>
            <w:tcW w:w="754" w:type="dxa"/>
            <w:shd w:val="clear" w:color="auto" w:fill="auto"/>
            <w:vAlign w:val="center"/>
            <w:hideMark/>
          </w:tcPr>
          <w:p w14:paraId="34942D2E"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5</w:t>
            </w:r>
          </w:p>
        </w:tc>
        <w:tc>
          <w:tcPr>
            <w:tcW w:w="1210" w:type="dxa"/>
            <w:shd w:val="clear" w:color="auto" w:fill="auto"/>
            <w:vAlign w:val="center"/>
            <w:hideMark/>
          </w:tcPr>
          <w:p w14:paraId="33961959"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18%</w:t>
            </w:r>
          </w:p>
        </w:tc>
      </w:tr>
      <w:tr w:rsidR="00A50275" w:rsidRPr="00A50275" w14:paraId="6130FEE3" w14:textId="77777777" w:rsidTr="00A50275">
        <w:trPr>
          <w:trHeight w:val="300"/>
        </w:trPr>
        <w:tc>
          <w:tcPr>
            <w:tcW w:w="2263" w:type="dxa"/>
            <w:shd w:val="clear" w:color="auto" w:fill="auto"/>
            <w:noWrap/>
            <w:vAlign w:val="center"/>
            <w:hideMark/>
          </w:tcPr>
          <w:p w14:paraId="4FDD10F5" w14:textId="47103309"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Pas</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6EE05E38"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1</w:t>
            </w:r>
          </w:p>
        </w:tc>
        <w:tc>
          <w:tcPr>
            <w:tcW w:w="1510" w:type="dxa"/>
            <w:shd w:val="clear" w:color="auto" w:fill="auto"/>
            <w:vAlign w:val="center"/>
            <w:hideMark/>
          </w:tcPr>
          <w:p w14:paraId="308B74AB"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295" w:type="dxa"/>
            <w:shd w:val="clear" w:color="auto" w:fill="auto"/>
            <w:vAlign w:val="center"/>
            <w:hideMark/>
          </w:tcPr>
          <w:p w14:paraId="7107945E"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1</w:t>
            </w:r>
          </w:p>
        </w:tc>
        <w:tc>
          <w:tcPr>
            <w:tcW w:w="1441" w:type="dxa"/>
            <w:shd w:val="clear" w:color="auto" w:fill="auto"/>
            <w:vAlign w:val="center"/>
            <w:hideMark/>
          </w:tcPr>
          <w:p w14:paraId="4AD3C898"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754" w:type="dxa"/>
            <w:shd w:val="clear" w:color="auto" w:fill="auto"/>
            <w:vAlign w:val="center"/>
            <w:hideMark/>
          </w:tcPr>
          <w:p w14:paraId="39C33F2B"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2</w:t>
            </w:r>
          </w:p>
        </w:tc>
        <w:tc>
          <w:tcPr>
            <w:tcW w:w="1210" w:type="dxa"/>
            <w:shd w:val="clear" w:color="auto" w:fill="auto"/>
            <w:vAlign w:val="center"/>
            <w:hideMark/>
          </w:tcPr>
          <w:p w14:paraId="125B2732"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7%</w:t>
            </w:r>
          </w:p>
        </w:tc>
      </w:tr>
      <w:tr w:rsidR="00A50275" w:rsidRPr="00A50275" w14:paraId="6C95A0E3" w14:textId="77777777" w:rsidTr="00A50275">
        <w:trPr>
          <w:trHeight w:val="300"/>
        </w:trPr>
        <w:tc>
          <w:tcPr>
            <w:tcW w:w="2263" w:type="dxa"/>
            <w:shd w:val="clear" w:color="000000" w:fill="FDE49B"/>
            <w:noWrap/>
            <w:vAlign w:val="center"/>
            <w:hideMark/>
          </w:tcPr>
          <w:p w14:paraId="40150621" w14:textId="77777777" w:rsidR="00A50275" w:rsidRPr="00A50275" w:rsidRDefault="00A50275" w:rsidP="00A50275">
            <w:pPr>
              <w:rPr>
                <w:rFonts w:ascii="Arial" w:hAnsi="Arial" w:cs="Arial"/>
                <w:b/>
                <w:bCs/>
                <w:color w:val="000000"/>
                <w:sz w:val="20"/>
                <w:szCs w:val="20"/>
              </w:rPr>
            </w:pPr>
            <w:r w:rsidRPr="00A50275">
              <w:rPr>
                <w:rFonts w:ascii="Arial" w:hAnsi="Arial" w:cs="Arial"/>
                <w:b/>
                <w:bCs/>
                <w:color w:val="000000"/>
                <w:sz w:val="20"/>
                <w:szCs w:val="20"/>
              </w:rPr>
              <w:t>Zinder</w:t>
            </w:r>
          </w:p>
        </w:tc>
        <w:tc>
          <w:tcPr>
            <w:tcW w:w="1307" w:type="dxa"/>
            <w:shd w:val="clear" w:color="000000" w:fill="FDE49B"/>
            <w:noWrap/>
            <w:vAlign w:val="center"/>
            <w:hideMark/>
          </w:tcPr>
          <w:p w14:paraId="0198F03E"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7</w:t>
            </w:r>
          </w:p>
        </w:tc>
        <w:tc>
          <w:tcPr>
            <w:tcW w:w="1510" w:type="dxa"/>
            <w:shd w:val="clear" w:color="000000" w:fill="FDE49B"/>
            <w:vAlign w:val="center"/>
            <w:hideMark/>
          </w:tcPr>
          <w:p w14:paraId="63451C3D"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8</w:t>
            </w:r>
          </w:p>
        </w:tc>
        <w:tc>
          <w:tcPr>
            <w:tcW w:w="1295" w:type="dxa"/>
            <w:shd w:val="clear" w:color="000000" w:fill="FDE49B"/>
            <w:vAlign w:val="center"/>
            <w:hideMark/>
          </w:tcPr>
          <w:p w14:paraId="6D594652"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8</w:t>
            </w:r>
          </w:p>
        </w:tc>
        <w:tc>
          <w:tcPr>
            <w:tcW w:w="1441" w:type="dxa"/>
            <w:shd w:val="clear" w:color="000000" w:fill="FDE49B"/>
            <w:vAlign w:val="center"/>
            <w:hideMark/>
          </w:tcPr>
          <w:p w14:paraId="14EBAE41"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8</w:t>
            </w:r>
          </w:p>
        </w:tc>
        <w:tc>
          <w:tcPr>
            <w:tcW w:w="754" w:type="dxa"/>
            <w:shd w:val="clear" w:color="000000" w:fill="FDE49B"/>
            <w:vAlign w:val="center"/>
            <w:hideMark/>
          </w:tcPr>
          <w:p w14:paraId="3088ADD5"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31</w:t>
            </w:r>
          </w:p>
        </w:tc>
        <w:tc>
          <w:tcPr>
            <w:tcW w:w="1210" w:type="dxa"/>
            <w:shd w:val="clear" w:color="000000" w:fill="FDE49B"/>
            <w:vAlign w:val="center"/>
            <w:hideMark/>
          </w:tcPr>
          <w:p w14:paraId="0681A364"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100%</w:t>
            </w:r>
          </w:p>
        </w:tc>
      </w:tr>
      <w:tr w:rsidR="00A50275" w:rsidRPr="00A50275" w14:paraId="4AAB0496" w14:textId="77777777" w:rsidTr="00A50275">
        <w:trPr>
          <w:trHeight w:val="300"/>
        </w:trPr>
        <w:tc>
          <w:tcPr>
            <w:tcW w:w="2263" w:type="dxa"/>
            <w:shd w:val="clear" w:color="auto" w:fill="auto"/>
            <w:noWrap/>
            <w:vAlign w:val="center"/>
            <w:hideMark/>
          </w:tcPr>
          <w:p w14:paraId="002BA94D" w14:textId="0554E36C"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Bien</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260AB0B0"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7</w:t>
            </w:r>
          </w:p>
        </w:tc>
        <w:tc>
          <w:tcPr>
            <w:tcW w:w="1510" w:type="dxa"/>
            <w:shd w:val="clear" w:color="auto" w:fill="auto"/>
            <w:vAlign w:val="center"/>
            <w:hideMark/>
          </w:tcPr>
          <w:p w14:paraId="03290EE2"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7</w:t>
            </w:r>
          </w:p>
        </w:tc>
        <w:tc>
          <w:tcPr>
            <w:tcW w:w="1295" w:type="dxa"/>
            <w:shd w:val="clear" w:color="auto" w:fill="auto"/>
            <w:vAlign w:val="center"/>
            <w:hideMark/>
          </w:tcPr>
          <w:p w14:paraId="592CA5C7"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8</w:t>
            </w:r>
          </w:p>
        </w:tc>
        <w:tc>
          <w:tcPr>
            <w:tcW w:w="1441" w:type="dxa"/>
            <w:shd w:val="clear" w:color="auto" w:fill="auto"/>
            <w:vAlign w:val="center"/>
            <w:hideMark/>
          </w:tcPr>
          <w:p w14:paraId="20E0AD8C"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8</w:t>
            </w:r>
          </w:p>
        </w:tc>
        <w:tc>
          <w:tcPr>
            <w:tcW w:w="754" w:type="dxa"/>
            <w:shd w:val="clear" w:color="auto" w:fill="auto"/>
            <w:vAlign w:val="center"/>
            <w:hideMark/>
          </w:tcPr>
          <w:p w14:paraId="666E8DB4"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30</w:t>
            </w:r>
          </w:p>
        </w:tc>
        <w:tc>
          <w:tcPr>
            <w:tcW w:w="1210" w:type="dxa"/>
            <w:shd w:val="clear" w:color="auto" w:fill="auto"/>
            <w:vAlign w:val="center"/>
            <w:hideMark/>
          </w:tcPr>
          <w:p w14:paraId="3A3F14EC"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97%</w:t>
            </w:r>
          </w:p>
        </w:tc>
      </w:tr>
      <w:tr w:rsidR="00A50275" w:rsidRPr="00A50275" w14:paraId="204A00F7" w14:textId="77777777" w:rsidTr="00A50275">
        <w:trPr>
          <w:trHeight w:val="300"/>
        </w:trPr>
        <w:tc>
          <w:tcPr>
            <w:tcW w:w="2263" w:type="dxa"/>
            <w:shd w:val="clear" w:color="auto" w:fill="auto"/>
            <w:noWrap/>
            <w:vAlign w:val="center"/>
            <w:hideMark/>
          </w:tcPr>
          <w:p w14:paraId="5C49B183" w14:textId="24A56327"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Moyennement</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122BE847"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510" w:type="dxa"/>
            <w:shd w:val="clear" w:color="auto" w:fill="auto"/>
            <w:vAlign w:val="center"/>
            <w:hideMark/>
          </w:tcPr>
          <w:p w14:paraId="397A9EAC"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1</w:t>
            </w:r>
          </w:p>
        </w:tc>
        <w:tc>
          <w:tcPr>
            <w:tcW w:w="1295" w:type="dxa"/>
            <w:shd w:val="clear" w:color="auto" w:fill="auto"/>
            <w:vAlign w:val="center"/>
            <w:hideMark/>
          </w:tcPr>
          <w:p w14:paraId="3025ECC6"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441" w:type="dxa"/>
            <w:shd w:val="clear" w:color="auto" w:fill="auto"/>
            <w:vAlign w:val="center"/>
            <w:hideMark/>
          </w:tcPr>
          <w:p w14:paraId="39F93BED"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754" w:type="dxa"/>
            <w:shd w:val="clear" w:color="auto" w:fill="auto"/>
            <w:vAlign w:val="center"/>
            <w:hideMark/>
          </w:tcPr>
          <w:p w14:paraId="297CBE54"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1</w:t>
            </w:r>
          </w:p>
        </w:tc>
        <w:tc>
          <w:tcPr>
            <w:tcW w:w="1210" w:type="dxa"/>
            <w:shd w:val="clear" w:color="auto" w:fill="auto"/>
            <w:vAlign w:val="center"/>
            <w:hideMark/>
          </w:tcPr>
          <w:p w14:paraId="319E5E14"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3%</w:t>
            </w:r>
          </w:p>
        </w:tc>
      </w:tr>
      <w:tr w:rsidR="00A50275" w:rsidRPr="00A50275" w14:paraId="7D0A94AD" w14:textId="77777777" w:rsidTr="00A50275">
        <w:trPr>
          <w:trHeight w:val="300"/>
        </w:trPr>
        <w:tc>
          <w:tcPr>
            <w:tcW w:w="2263" w:type="dxa"/>
            <w:shd w:val="clear" w:color="auto" w:fill="auto"/>
            <w:noWrap/>
            <w:vAlign w:val="center"/>
            <w:hideMark/>
          </w:tcPr>
          <w:p w14:paraId="4C67A4BF" w14:textId="3F4DC1BD" w:rsidR="00A50275" w:rsidRPr="00A50275" w:rsidRDefault="00A50275" w:rsidP="00A50275">
            <w:pPr>
              <w:ind w:firstLineChars="100" w:firstLine="200"/>
              <w:rPr>
                <w:rFonts w:ascii="Arial" w:hAnsi="Arial" w:cs="Arial"/>
                <w:color w:val="000000"/>
                <w:sz w:val="20"/>
                <w:szCs w:val="20"/>
              </w:rPr>
            </w:pPr>
            <w:r w:rsidRPr="00A50275">
              <w:rPr>
                <w:rFonts w:ascii="Arial" w:hAnsi="Arial" w:cs="Arial"/>
                <w:color w:val="000000"/>
                <w:sz w:val="20"/>
                <w:szCs w:val="20"/>
              </w:rPr>
              <w:t>Pas</w:t>
            </w:r>
            <w:r>
              <w:rPr>
                <w:rFonts w:ascii="Arial" w:hAnsi="Arial" w:cs="Arial"/>
                <w:color w:val="000000"/>
                <w:sz w:val="20"/>
                <w:szCs w:val="20"/>
              </w:rPr>
              <w:t xml:space="preserve"> </w:t>
            </w:r>
            <w:r w:rsidRPr="00A50275">
              <w:rPr>
                <w:rFonts w:ascii="Arial" w:hAnsi="Arial" w:cs="Arial"/>
                <w:color w:val="000000"/>
                <w:sz w:val="20"/>
                <w:szCs w:val="20"/>
              </w:rPr>
              <w:t>tenus</w:t>
            </w:r>
          </w:p>
        </w:tc>
        <w:tc>
          <w:tcPr>
            <w:tcW w:w="1307" w:type="dxa"/>
            <w:shd w:val="clear" w:color="auto" w:fill="auto"/>
            <w:noWrap/>
            <w:vAlign w:val="center"/>
            <w:hideMark/>
          </w:tcPr>
          <w:p w14:paraId="3F2821AE"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510" w:type="dxa"/>
            <w:shd w:val="clear" w:color="auto" w:fill="auto"/>
            <w:vAlign w:val="center"/>
            <w:hideMark/>
          </w:tcPr>
          <w:p w14:paraId="01A0F871"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295" w:type="dxa"/>
            <w:shd w:val="clear" w:color="auto" w:fill="auto"/>
            <w:vAlign w:val="center"/>
            <w:hideMark/>
          </w:tcPr>
          <w:p w14:paraId="1767AD91"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441" w:type="dxa"/>
            <w:shd w:val="clear" w:color="auto" w:fill="auto"/>
            <w:vAlign w:val="center"/>
            <w:hideMark/>
          </w:tcPr>
          <w:p w14:paraId="7F7A5516"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754" w:type="dxa"/>
            <w:shd w:val="clear" w:color="auto" w:fill="auto"/>
            <w:vAlign w:val="center"/>
            <w:hideMark/>
          </w:tcPr>
          <w:p w14:paraId="131F284A"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c>
          <w:tcPr>
            <w:tcW w:w="1210" w:type="dxa"/>
            <w:shd w:val="clear" w:color="auto" w:fill="auto"/>
            <w:vAlign w:val="center"/>
            <w:hideMark/>
          </w:tcPr>
          <w:p w14:paraId="2D596158" w14:textId="77777777" w:rsidR="00A50275" w:rsidRPr="00A50275" w:rsidRDefault="00A50275" w:rsidP="00A50275">
            <w:pPr>
              <w:jc w:val="right"/>
              <w:rPr>
                <w:rFonts w:ascii="Arial" w:hAnsi="Arial" w:cs="Arial"/>
                <w:color w:val="000000"/>
                <w:sz w:val="20"/>
                <w:szCs w:val="20"/>
              </w:rPr>
            </w:pPr>
            <w:r w:rsidRPr="00A50275">
              <w:rPr>
                <w:rFonts w:ascii="Arial" w:hAnsi="Arial" w:cs="Arial"/>
                <w:color w:val="000000"/>
                <w:sz w:val="20"/>
                <w:szCs w:val="20"/>
              </w:rPr>
              <w:t>0%</w:t>
            </w:r>
          </w:p>
        </w:tc>
      </w:tr>
      <w:tr w:rsidR="00A50275" w:rsidRPr="00A50275" w14:paraId="675C7BB0" w14:textId="77777777" w:rsidTr="00A50275">
        <w:trPr>
          <w:trHeight w:val="300"/>
        </w:trPr>
        <w:tc>
          <w:tcPr>
            <w:tcW w:w="2263" w:type="dxa"/>
            <w:shd w:val="clear" w:color="000000" w:fill="D9E7FD"/>
            <w:noWrap/>
            <w:vAlign w:val="center"/>
            <w:hideMark/>
          </w:tcPr>
          <w:p w14:paraId="486ADD3E" w14:textId="77777777" w:rsidR="00A50275" w:rsidRPr="00A50275" w:rsidRDefault="00A50275" w:rsidP="00A50275">
            <w:pPr>
              <w:rPr>
                <w:rFonts w:ascii="Arial" w:hAnsi="Arial" w:cs="Arial"/>
                <w:b/>
                <w:bCs/>
                <w:color w:val="000000"/>
                <w:sz w:val="20"/>
                <w:szCs w:val="20"/>
              </w:rPr>
            </w:pPr>
            <w:r w:rsidRPr="00A50275">
              <w:rPr>
                <w:rFonts w:ascii="Arial" w:hAnsi="Arial" w:cs="Arial"/>
                <w:b/>
                <w:bCs/>
                <w:color w:val="000000"/>
                <w:sz w:val="20"/>
                <w:szCs w:val="20"/>
              </w:rPr>
              <w:t>Total général</w:t>
            </w:r>
          </w:p>
        </w:tc>
        <w:tc>
          <w:tcPr>
            <w:tcW w:w="1307" w:type="dxa"/>
            <w:shd w:val="clear" w:color="000000" w:fill="D9E7FD"/>
            <w:noWrap/>
            <w:vAlign w:val="center"/>
            <w:hideMark/>
          </w:tcPr>
          <w:p w14:paraId="46B65FF3"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21</w:t>
            </w:r>
          </w:p>
        </w:tc>
        <w:tc>
          <w:tcPr>
            <w:tcW w:w="1510" w:type="dxa"/>
            <w:shd w:val="clear" w:color="000000" w:fill="D9E7FD"/>
            <w:vAlign w:val="center"/>
            <w:hideMark/>
          </w:tcPr>
          <w:p w14:paraId="5D8BD19B"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23</w:t>
            </w:r>
          </w:p>
        </w:tc>
        <w:tc>
          <w:tcPr>
            <w:tcW w:w="1295" w:type="dxa"/>
            <w:shd w:val="clear" w:color="000000" w:fill="D9E7FD"/>
            <w:vAlign w:val="center"/>
            <w:hideMark/>
          </w:tcPr>
          <w:p w14:paraId="57F50977"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21</w:t>
            </w:r>
          </w:p>
        </w:tc>
        <w:tc>
          <w:tcPr>
            <w:tcW w:w="1441" w:type="dxa"/>
            <w:shd w:val="clear" w:color="000000" w:fill="D9E7FD"/>
            <w:vAlign w:val="center"/>
            <w:hideMark/>
          </w:tcPr>
          <w:p w14:paraId="6E78F21E"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24</w:t>
            </w:r>
          </w:p>
        </w:tc>
        <w:tc>
          <w:tcPr>
            <w:tcW w:w="754" w:type="dxa"/>
            <w:shd w:val="clear" w:color="000000" w:fill="D9E7FD"/>
            <w:vAlign w:val="center"/>
            <w:hideMark/>
          </w:tcPr>
          <w:p w14:paraId="30ED6B93"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89</w:t>
            </w:r>
          </w:p>
        </w:tc>
        <w:tc>
          <w:tcPr>
            <w:tcW w:w="1210" w:type="dxa"/>
            <w:shd w:val="clear" w:color="000000" w:fill="D9E7FD"/>
            <w:vAlign w:val="center"/>
            <w:hideMark/>
          </w:tcPr>
          <w:p w14:paraId="1F44B7DA" w14:textId="77777777" w:rsidR="00A50275" w:rsidRPr="00A50275" w:rsidRDefault="00A50275" w:rsidP="00A50275">
            <w:pPr>
              <w:jc w:val="right"/>
              <w:rPr>
                <w:rFonts w:ascii="Arial" w:hAnsi="Arial" w:cs="Arial"/>
                <w:b/>
                <w:bCs/>
                <w:color w:val="000000"/>
                <w:sz w:val="20"/>
                <w:szCs w:val="20"/>
              </w:rPr>
            </w:pPr>
            <w:r w:rsidRPr="00A50275">
              <w:rPr>
                <w:rFonts w:ascii="Arial" w:hAnsi="Arial" w:cs="Arial"/>
                <w:b/>
                <w:bCs/>
                <w:color w:val="000000"/>
                <w:sz w:val="20"/>
                <w:szCs w:val="20"/>
              </w:rPr>
              <w:t> </w:t>
            </w:r>
          </w:p>
        </w:tc>
      </w:tr>
    </w:tbl>
    <w:p w14:paraId="5CF40EEC" w14:textId="2B5ECF40" w:rsidR="00562B16" w:rsidRDefault="00B91700" w:rsidP="00B91700">
      <w:pPr>
        <w:tabs>
          <w:tab w:val="left" w:pos="4402"/>
        </w:tabs>
        <w:spacing w:line="276" w:lineRule="auto"/>
        <w:rPr>
          <w:rFonts w:ascii="Bookman Old Style" w:hAnsi="Bookman Old Style" w:cs="Arial"/>
        </w:rPr>
      </w:pPr>
      <w:r w:rsidRPr="000E18CE">
        <w:rPr>
          <w:rFonts w:ascii="Bookman Old Style" w:hAnsi="Bookman Old Style" w:cs="Arial"/>
          <w:sz w:val="18"/>
          <w:szCs w:val="18"/>
        </w:rPr>
        <w:t>Source : Enquête terrain, septembre 2021</w:t>
      </w:r>
    </w:p>
    <w:p w14:paraId="4A10544E" w14:textId="3DF1EA92" w:rsidR="00562B16" w:rsidRPr="001310BC" w:rsidRDefault="004472FB" w:rsidP="0005354B">
      <w:pPr>
        <w:pStyle w:val="Titre3"/>
        <w:numPr>
          <w:ilvl w:val="2"/>
          <w:numId w:val="3"/>
        </w:numPr>
        <w:rPr>
          <w:rFonts w:ascii="Bookman Old Style" w:hAnsi="Bookman Old Style" w:cs="Arial"/>
          <w:i/>
          <w:iCs/>
        </w:rPr>
      </w:pPr>
      <w:bookmarkStart w:id="87" w:name="_Toc97822374"/>
      <w:r w:rsidRPr="001310BC">
        <w:rPr>
          <w:rFonts w:ascii="Bookman Old Style" w:hAnsi="Bookman Old Style" w:cs="Arial"/>
          <w:i/>
          <w:iCs/>
        </w:rPr>
        <w:t>Satisfaction des membres de COGES GFS</w:t>
      </w:r>
      <w:bookmarkEnd w:id="87"/>
    </w:p>
    <w:p w14:paraId="71B214AE" w14:textId="113F5C8E" w:rsidR="00562B16" w:rsidRDefault="00E60949" w:rsidP="00E60949">
      <w:pPr>
        <w:tabs>
          <w:tab w:val="left" w:pos="4402"/>
        </w:tabs>
        <w:spacing w:before="240" w:line="276" w:lineRule="auto"/>
        <w:jc w:val="both"/>
        <w:rPr>
          <w:rFonts w:ascii="Bookman Old Style" w:hAnsi="Bookman Old Style" w:cs="Arial"/>
        </w:rPr>
      </w:pPr>
      <w:r>
        <w:rPr>
          <w:rFonts w:ascii="Bookman Old Style" w:hAnsi="Bookman Old Style" w:cs="Arial"/>
        </w:rPr>
        <w:t>Au regard de la figure ci-dessous, nous constatons que les membres de COGES GFS enquêtés sont très satisfaits (74%) de la mise en œuvre de cette activité. Seul 4% sont peu satisfait de cette initiative.</w:t>
      </w:r>
    </w:p>
    <w:p w14:paraId="38EEF3D1" w14:textId="5079D66F" w:rsidR="00562B16" w:rsidRDefault="00C76377" w:rsidP="00A836B9">
      <w:pPr>
        <w:tabs>
          <w:tab w:val="left" w:pos="4402"/>
        </w:tabs>
        <w:spacing w:line="276" w:lineRule="auto"/>
        <w:jc w:val="center"/>
        <w:rPr>
          <w:rFonts w:ascii="Bookman Old Style" w:hAnsi="Bookman Old Style" w:cs="Arial"/>
        </w:rPr>
      </w:pPr>
      <w:r>
        <w:rPr>
          <w:noProof/>
        </w:rPr>
        <w:drawing>
          <wp:inline distT="0" distB="0" distL="0" distR="0" wp14:anchorId="0A26CCE4" wp14:editId="535E5DDA">
            <wp:extent cx="4495800" cy="2348345"/>
            <wp:effectExtent l="0" t="0" r="0" b="13970"/>
            <wp:docPr id="27" name="Graphique 27">
              <a:extLst xmlns:a="http://schemas.openxmlformats.org/drawingml/2006/main">
                <a:ext uri="{FF2B5EF4-FFF2-40B4-BE49-F238E27FC236}">
                  <a16:creationId xmlns:a16="http://schemas.microsoft.com/office/drawing/2014/main" id="{6641D188-11B1-480C-8662-8A8F42506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243105" w14:textId="352225CC" w:rsidR="00C76377" w:rsidRDefault="003D37B5" w:rsidP="003D37B5">
      <w:pPr>
        <w:pStyle w:val="Lgende"/>
      </w:pPr>
      <w:r>
        <w:t xml:space="preserve">                    </w:t>
      </w:r>
      <w:bookmarkStart w:id="88" w:name="_Toc97823250"/>
      <w:r>
        <w:t xml:space="preserve">Figure </w:t>
      </w:r>
      <w:fldSimple w:instr=" SEQ Figure \* ARABIC ">
        <w:r w:rsidR="004F4E33">
          <w:rPr>
            <w:noProof/>
          </w:rPr>
          <w:t>37</w:t>
        </w:r>
      </w:fldSimple>
      <w:r>
        <w:t xml:space="preserve"> : Niveau de satisfaction des </w:t>
      </w:r>
      <w:r w:rsidR="004472FB">
        <w:t xml:space="preserve">membres de </w:t>
      </w:r>
      <w:r>
        <w:t>COGES GFS</w:t>
      </w:r>
      <w:bookmarkEnd w:id="88"/>
    </w:p>
    <w:p w14:paraId="7A10C365" w14:textId="24014738" w:rsidR="003C64BC" w:rsidRPr="003C64BC" w:rsidRDefault="003C64BC" w:rsidP="003C64BC">
      <w:pPr>
        <w:pStyle w:val="Titre3"/>
        <w:numPr>
          <w:ilvl w:val="2"/>
          <w:numId w:val="3"/>
        </w:numPr>
        <w:rPr>
          <w:rFonts w:ascii="Bookman Old Style" w:hAnsi="Bookman Old Style" w:cs="Arial"/>
          <w:i/>
          <w:iCs/>
        </w:rPr>
      </w:pPr>
      <w:bookmarkStart w:id="89" w:name="_Toc97822375"/>
      <w:r w:rsidRPr="003C64BC">
        <w:rPr>
          <w:rFonts w:ascii="Bookman Old Style" w:hAnsi="Bookman Old Style" w:cs="Arial"/>
          <w:i/>
          <w:iCs/>
        </w:rPr>
        <w:lastRenderedPageBreak/>
        <w:t>Appréciation des bénéficiaires</w:t>
      </w:r>
      <w:bookmarkEnd w:id="89"/>
    </w:p>
    <w:p w14:paraId="0BC0931A" w14:textId="456A61FC" w:rsidR="00CE7BEB" w:rsidRDefault="003C64BC" w:rsidP="00F5280E">
      <w:pPr>
        <w:spacing w:before="240" w:line="276" w:lineRule="auto"/>
        <w:ind w:left="360"/>
        <w:jc w:val="both"/>
        <w:rPr>
          <w:rFonts w:ascii="Bookman Old Style" w:hAnsi="Bookman Old Style"/>
        </w:rPr>
      </w:pPr>
      <w:r w:rsidRPr="00CE7BEB">
        <w:rPr>
          <w:rFonts w:ascii="Bookman Old Style" w:hAnsi="Bookman Old Style"/>
        </w:rPr>
        <w:t>Le</w:t>
      </w:r>
      <w:r w:rsidR="00CE7BEB" w:rsidRPr="00CE7BEB">
        <w:rPr>
          <w:rFonts w:ascii="Bookman Old Style" w:hAnsi="Bookman Old Style"/>
        </w:rPr>
        <w:t xml:space="preserve"> tableau ci-après nous indique que les</w:t>
      </w:r>
      <w:r w:rsidRPr="00CE7BEB">
        <w:rPr>
          <w:rFonts w:ascii="Bookman Old Style" w:hAnsi="Bookman Old Style"/>
        </w:rPr>
        <w:t xml:space="preserve"> bénéficiaires </w:t>
      </w:r>
      <w:r w:rsidR="00CE7BEB" w:rsidRPr="00CE7BEB">
        <w:rPr>
          <w:rFonts w:ascii="Bookman Old Style" w:hAnsi="Bookman Old Style"/>
        </w:rPr>
        <w:t xml:space="preserve">GFS </w:t>
      </w:r>
      <w:r w:rsidRPr="00CE7BEB">
        <w:rPr>
          <w:rFonts w:ascii="Bookman Old Style" w:hAnsi="Bookman Old Style"/>
        </w:rPr>
        <w:t>enquêtés</w:t>
      </w:r>
      <w:r w:rsidR="00CE7BEB" w:rsidRPr="00CE7BEB">
        <w:rPr>
          <w:rFonts w:ascii="Bookman Old Style" w:hAnsi="Bookman Old Style"/>
        </w:rPr>
        <w:t xml:space="preserve"> sont à 77% très satisfaits de l’initiative et 23% sont satisfaits, soit 100% de satisfaction. Ces taux nous informent également de l’importance capital de GFS dans la sécurité alimentaire et nutritionnelle des ménages ruraux.</w:t>
      </w:r>
    </w:p>
    <w:p w14:paraId="1D3DE9C0" w14:textId="77777777" w:rsidR="00F5280E" w:rsidRDefault="00F5280E" w:rsidP="00F5280E">
      <w:pPr>
        <w:spacing w:line="276" w:lineRule="auto"/>
        <w:ind w:left="360"/>
        <w:jc w:val="both"/>
        <w:rPr>
          <w:rFonts w:ascii="Bookman Old Style" w:hAnsi="Bookman Old Style"/>
        </w:rPr>
      </w:pPr>
    </w:p>
    <w:p w14:paraId="7E713D5B" w14:textId="43075B1F" w:rsidR="003C64BC" w:rsidRDefault="00F5280E" w:rsidP="00F5280E">
      <w:pPr>
        <w:pStyle w:val="Lgende"/>
        <w:spacing w:after="0"/>
      </w:pPr>
      <w:r>
        <w:t xml:space="preserve">                            </w:t>
      </w:r>
      <w:r w:rsidR="003C64BC" w:rsidRPr="00F5280E">
        <w:t xml:space="preserve"> </w:t>
      </w:r>
      <w:bookmarkStart w:id="90" w:name="_Toc97822389"/>
      <w:r>
        <w:t xml:space="preserve">Tableau </w:t>
      </w:r>
      <w:fldSimple w:instr=" SEQ Tableau \* ARABIC ">
        <w:r w:rsidR="00275B4D">
          <w:rPr>
            <w:noProof/>
          </w:rPr>
          <w:t>10</w:t>
        </w:r>
      </w:fldSimple>
      <w:r>
        <w:t> : Niveau d’appréciation des bénéficiaires</w:t>
      </w:r>
      <w:bookmarkEnd w:id="90"/>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0"/>
        <w:gridCol w:w="2028"/>
        <w:gridCol w:w="2126"/>
      </w:tblGrid>
      <w:tr w:rsidR="003C64BC" w:rsidRPr="003C64BC" w14:paraId="7817249E" w14:textId="77777777" w:rsidTr="003C64BC">
        <w:trPr>
          <w:trHeight w:val="264"/>
          <w:jc w:val="center"/>
        </w:trPr>
        <w:tc>
          <w:tcPr>
            <w:tcW w:w="2220" w:type="dxa"/>
            <w:shd w:val="clear" w:color="D9E7FD" w:fill="D9E7FD"/>
            <w:noWrap/>
            <w:vAlign w:val="center"/>
            <w:hideMark/>
          </w:tcPr>
          <w:p w14:paraId="56CF1BBD" w14:textId="664251C0" w:rsidR="003C64BC" w:rsidRPr="003C64BC" w:rsidRDefault="003C64BC" w:rsidP="003C64BC">
            <w:pPr>
              <w:jc w:val="center"/>
              <w:rPr>
                <w:rFonts w:ascii="Arial" w:hAnsi="Arial" w:cs="Arial"/>
                <w:b/>
                <w:bCs/>
                <w:color w:val="000000"/>
                <w:sz w:val="20"/>
                <w:szCs w:val="20"/>
              </w:rPr>
            </w:pPr>
            <w:r>
              <w:rPr>
                <w:rFonts w:ascii="Arial" w:hAnsi="Arial" w:cs="Arial"/>
                <w:b/>
                <w:bCs/>
                <w:color w:val="000000"/>
                <w:sz w:val="20"/>
                <w:szCs w:val="20"/>
              </w:rPr>
              <w:t>Appréciation</w:t>
            </w:r>
          </w:p>
        </w:tc>
        <w:tc>
          <w:tcPr>
            <w:tcW w:w="2028" w:type="dxa"/>
            <w:shd w:val="clear" w:color="D9E7FD" w:fill="D9E7FD"/>
            <w:noWrap/>
            <w:vAlign w:val="center"/>
            <w:hideMark/>
          </w:tcPr>
          <w:p w14:paraId="626812E0" w14:textId="6CE80963" w:rsidR="003C64BC" w:rsidRPr="003C64BC" w:rsidRDefault="003C64BC" w:rsidP="003C64BC">
            <w:pPr>
              <w:jc w:val="center"/>
              <w:rPr>
                <w:rFonts w:ascii="Arial" w:hAnsi="Arial" w:cs="Arial"/>
                <w:b/>
                <w:bCs/>
                <w:color w:val="000000"/>
                <w:sz w:val="20"/>
                <w:szCs w:val="20"/>
              </w:rPr>
            </w:pPr>
            <w:r w:rsidRPr="003C64BC">
              <w:rPr>
                <w:rFonts w:ascii="Arial" w:hAnsi="Arial" w:cs="Arial"/>
                <w:b/>
                <w:bCs/>
                <w:color w:val="000000"/>
                <w:sz w:val="20"/>
                <w:szCs w:val="20"/>
              </w:rPr>
              <w:t xml:space="preserve">Nombre </w:t>
            </w:r>
          </w:p>
        </w:tc>
        <w:tc>
          <w:tcPr>
            <w:tcW w:w="2126" w:type="dxa"/>
            <w:shd w:val="clear" w:color="D9E7FD" w:fill="D9E7FD"/>
            <w:noWrap/>
            <w:vAlign w:val="center"/>
            <w:hideMark/>
          </w:tcPr>
          <w:p w14:paraId="4DA906D2" w14:textId="77777777" w:rsidR="003C64BC" w:rsidRPr="003C64BC" w:rsidRDefault="003C64BC" w:rsidP="003C64BC">
            <w:pPr>
              <w:jc w:val="center"/>
              <w:rPr>
                <w:rFonts w:ascii="Arial" w:hAnsi="Arial" w:cs="Arial"/>
                <w:b/>
                <w:bCs/>
                <w:color w:val="000000"/>
                <w:sz w:val="20"/>
                <w:szCs w:val="20"/>
              </w:rPr>
            </w:pPr>
            <w:r w:rsidRPr="003C64BC">
              <w:rPr>
                <w:rFonts w:ascii="Arial" w:hAnsi="Arial" w:cs="Arial"/>
                <w:b/>
                <w:bCs/>
                <w:color w:val="000000"/>
                <w:sz w:val="20"/>
                <w:szCs w:val="20"/>
              </w:rPr>
              <w:t>Proportion %</w:t>
            </w:r>
          </w:p>
        </w:tc>
      </w:tr>
      <w:tr w:rsidR="003C64BC" w:rsidRPr="003C64BC" w14:paraId="649A3552" w14:textId="77777777" w:rsidTr="003C64BC">
        <w:trPr>
          <w:trHeight w:val="395"/>
          <w:jc w:val="center"/>
        </w:trPr>
        <w:tc>
          <w:tcPr>
            <w:tcW w:w="2220" w:type="dxa"/>
            <w:shd w:val="clear" w:color="auto" w:fill="auto"/>
            <w:noWrap/>
            <w:vAlign w:val="center"/>
            <w:hideMark/>
          </w:tcPr>
          <w:p w14:paraId="4E32E45D" w14:textId="77777777" w:rsidR="003C64BC" w:rsidRPr="003C64BC" w:rsidRDefault="003C64BC" w:rsidP="003C64BC">
            <w:pPr>
              <w:rPr>
                <w:rFonts w:ascii="Arial" w:hAnsi="Arial" w:cs="Arial"/>
                <w:color w:val="000000"/>
                <w:sz w:val="20"/>
                <w:szCs w:val="20"/>
              </w:rPr>
            </w:pPr>
            <w:r w:rsidRPr="003C64BC">
              <w:rPr>
                <w:rFonts w:ascii="Arial" w:hAnsi="Arial" w:cs="Arial"/>
                <w:color w:val="000000"/>
                <w:sz w:val="20"/>
                <w:szCs w:val="20"/>
              </w:rPr>
              <w:t>Satisfaite</w:t>
            </w:r>
          </w:p>
        </w:tc>
        <w:tc>
          <w:tcPr>
            <w:tcW w:w="2028" w:type="dxa"/>
            <w:shd w:val="clear" w:color="auto" w:fill="auto"/>
            <w:noWrap/>
            <w:vAlign w:val="center"/>
            <w:hideMark/>
          </w:tcPr>
          <w:p w14:paraId="116F9D54" w14:textId="77777777" w:rsidR="003C64BC" w:rsidRPr="003C64BC" w:rsidRDefault="003C64BC" w:rsidP="003C64BC">
            <w:pPr>
              <w:jc w:val="right"/>
              <w:rPr>
                <w:rFonts w:ascii="Arial" w:hAnsi="Arial" w:cs="Arial"/>
                <w:color w:val="000000"/>
                <w:sz w:val="20"/>
                <w:szCs w:val="20"/>
              </w:rPr>
            </w:pPr>
            <w:r w:rsidRPr="003C64BC">
              <w:rPr>
                <w:rFonts w:ascii="Arial" w:hAnsi="Arial" w:cs="Arial"/>
                <w:color w:val="000000"/>
                <w:sz w:val="20"/>
                <w:szCs w:val="20"/>
              </w:rPr>
              <w:t>57</w:t>
            </w:r>
          </w:p>
        </w:tc>
        <w:tc>
          <w:tcPr>
            <w:tcW w:w="2126" w:type="dxa"/>
            <w:shd w:val="clear" w:color="auto" w:fill="auto"/>
            <w:noWrap/>
            <w:vAlign w:val="center"/>
            <w:hideMark/>
          </w:tcPr>
          <w:p w14:paraId="01F35551" w14:textId="77777777" w:rsidR="003C64BC" w:rsidRPr="003C64BC" w:rsidRDefault="003C64BC" w:rsidP="003C64BC">
            <w:pPr>
              <w:jc w:val="right"/>
              <w:rPr>
                <w:rFonts w:ascii="Arial" w:hAnsi="Arial" w:cs="Arial"/>
                <w:color w:val="000000"/>
                <w:sz w:val="20"/>
                <w:szCs w:val="20"/>
              </w:rPr>
            </w:pPr>
            <w:r w:rsidRPr="003C64BC">
              <w:rPr>
                <w:rFonts w:ascii="Arial" w:hAnsi="Arial" w:cs="Arial"/>
                <w:color w:val="000000"/>
                <w:sz w:val="20"/>
                <w:szCs w:val="20"/>
              </w:rPr>
              <w:t>23%</w:t>
            </w:r>
          </w:p>
        </w:tc>
      </w:tr>
      <w:tr w:rsidR="003C64BC" w:rsidRPr="003C64BC" w14:paraId="53B87ADB" w14:textId="77777777" w:rsidTr="003C64BC">
        <w:trPr>
          <w:trHeight w:val="414"/>
          <w:jc w:val="center"/>
        </w:trPr>
        <w:tc>
          <w:tcPr>
            <w:tcW w:w="2220" w:type="dxa"/>
            <w:shd w:val="clear" w:color="auto" w:fill="auto"/>
            <w:noWrap/>
            <w:vAlign w:val="center"/>
            <w:hideMark/>
          </w:tcPr>
          <w:p w14:paraId="3E2F0EEB" w14:textId="77777777" w:rsidR="003C64BC" w:rsidRPr="003C64BC" w:rsidRDefault="003C64BC" w:rsidP="003C64BC">
            <w:pPr>
              <w:rPr>
                <w:rFonts w:ascii="Arial" w:hAnsi="Arial" w:cs="Arial"/>
                <w:color w:val="000000"/>
                <w:sz w:val="20"/>
                <w:szCs w:val="20"/>
              </w:rPr>
            </w:pPr>
            <w:r w:rsidRPr="003C64BC">
              <w:rPr>
                <w:rFonts w:ascii="Arial" w:hAnsi="Arial" w:cs="Arial"/>
                <w:color w:val="000000"/>
                <w:sz w:val="20"/>
                <w:szCs w:val="20"/>
              </w:rPr>
              <w:t>Très satisfaite</w:t>
            </w:r>
          </w:p>
        </w:tc>
        <w:tc>
          <w:tcPr>
            <w:tcW w:w="2028" w:type="dxa"/>
            <w:shd w:val="clear" w:color="auto" w:fill="auto"/>
            <w:noWrap/>
            <w:vAlign w:val="center"/>
            <w:hideMark/>
          </w:tcPr>
          <w:p w14:paraId="2E5C17ED" w14:textId="77777777" w:rsidR="003C64BC" w:rsidRPr="003C64BC" w:rsidRDefault="003C64BC" w:rsidP="003C64BC">
            <w:pPr>
              <w:jc w:val="right"/>
              <w:rPr>
                <w:rFonts w:ascii="Arial" w:hAnsi="Arial" w:cs="Arial"/>
                <w:color w:val="000000"/>
                <w:sz w:val="20"/>
                <w:szCs w:val="20"/>
              </w:rPr>
            </w:pPr>
            <w:r w:rsidRPr="003C64BC">
              <w:rPr>
                <w:rFonts w:ascii="Arial" w:hAnsi="Arial" w:cs="Arial"/>
                <w:color w:val="000000"/>
                <w:sz w:val="20"/>
                <w:szCs w:val="20"/>
              </w:rPr>
              <w:t>186</w:t>
            </w:r>
          </w:p>
        </w:tc>
        <w:tc>
          <w:tcPr>
            <w:tcW w:w="2126" w:type="dxa"/>
            <w:shd w:val="clear" w:color="auto" w:fill="auto"/>
            <w:noWrap/>
            <w:vAlign w:val="center"/>
            <w:hideMark/>
          </w:tcPr>
          <w:p w14:paraId="1E0EAEAD" w14:textId="77777777" w:rsidR="003C64BC" w:rsidRPr="003C64BC" w:rsidRDefault="003C64BC" w:rsidP="003C64BC">
            <w:pPr>
              <w:jc w:val="right"/>
              <w:rPr>
                <w:rFonts w:ascii="Arial" w:hAnsi="Arial" w:cs="Arial"/>
                <w:color w:val="000000"/>
                <w:sz w:val="20"/>
                <w:szCs w:val="20"/>
              </w:rPr>
            </w:pPr>
            <w:r w:rsidRPr="003C64BC">
              <w:rPr>
                <w:rFonts w:ascii="Arial" w:hAnsi="Arial" w:cs="Arial"/>
                <w:color w:val="000000"/>
                <w:sz w:val="20"/>
                <w:szCs w:val="20"/>
              </w:rPr>
              <w:t>77%</w:t>
            </w:r>
          </w:p>
        </w:tc>
      </w:tr>
      <w:tr w:rsidR="003C64BC" w:rsidRPr="003C64BC" w14:paraId="65367CE1" w14:textId="77777777" w:rsidTr="003C64BC">
        <w:trPr>
          <w:trHeight w:val="421"/>
          <w:jc w:val="center"/>
        </w:trPr>
        <w:tc>
          <w:tcPr>
            <w:tcW w:w="2220" w:type="dxa"/>
            <w:shd w:val="clear" w:color="D9E7FD" w:fill="D9E7FD"/>
            <w:noWrap/>
            <w:vAlign w:val="center"/>
            <w:hideMark/>
          </w:tcPr>
          <w:p w14:paraId="754E464A" w14:textId="77777777" w:rsidR="003C64BC" w:rsidRPr="003C64BC" w:rsidRDefault="003C64BC" w:rsidP="003C64BC">
            <w:pPr>
              <w:rPr>
                <w:rFonts w:ascii="Arial" w:hAnsi="Arial" w:cs="Arial"/>
                <w:b/>
                <w:bCs/>
                <w:color w:val="000000"/>
                <w:sz w:val="20"/>
                <w:szCs w:val="20"/>
              </w:rPr>
            </w:pPr>
            <w:r w:rsidRPr="003C64BC">
              <w:rPr>
                <w:rFonts w:ascii="Arial" w:hAnsi="Arial" w:cs="Arial"/>
                <w:b/>
                <w:bCs/>
                <w:color w:val="000000"/>
                <w:sz w:val="20"/>
                <w:szCs w:val="20"/>
              </w:rPr>
              <w:t>Total général</w:t>
            </w:r>
          </w:p>
        </w:tc>
        <w:tc>
          <w:tcPr>
            <w:tcW w:w="2028" w:type="dxa"/>
            <w:shd w:val="clear" w:color="D9E7FD" w:fill="D9E7FD"/>
            <w:noWrap/>
            <w:vAlign w:val="center"/>
            <w:hideMark/>
          </w:tcPr>
          <w:p w14:paraId="56EB6C82" w14:textId="77777777" w:rsidR="003C64BC" w:rsidRPr="003C64BC" w:rsidRDefault="003C64BC" w:rsidP="003C64BC">
            <w:pPr>
              <w:jc w:val="right"/>
              <w:rPr>
                <w:rFonts w:ascii="Arial" w:hAnsi="Arial" w:cs="Arial"/>
                <w:b/>
                <w:bCs/>
                <w:color w:val="000000"/>
                <w:sz w:val="20"/>
                <w:szCs w:val="20"/>
              </w:rPr>
            </w:pPr>
            <w:r w:rsidRPr="003C64BC">
              <w:rPr>
                <w:rFonts w:ascii="Arial" w:hAnsi="Arial" w:cs="Arial"/>
                <w:b/>
                <w:bCs/>
                <w:color w:val="000000"/>
                <w:sz w:val="20"/>
                <w:szCs w:val="20"/>
              </w:rPr>
              <w:t>243</w:t>
            </w:r>
          </w:p>
        </w:tc>
        <w:tc>
          <w:tcPr>
            <w:tcW w:w="2126" w:type="dxa"/>
            <w:shd w:val="clear" w:color="D9E7FD" w:fill="D9E7FD"/>
            <w:noWrap/>
            <w:vAlign w:val="center"/>
            <w:hideMark/>
          </w:tcPr>
          <w:p w14:paraId="20AE9929" w14:textId="77777777" w:rsidR="003C64BC" w:rsidRPr="003C64BC" w:rsidRDefault="003C64BC" w:rsidP="003C64BC">
            <w:pPr>
              <w:jc w:val="right"/>
              <w:rPr>
                <w:rFonts w:ascii="Arial" w:hAnsi="Arial" w:cs="Arial"/>
                <w:b/>
                <w:bCs/>
                <w:color w:val="000000"/>
                <w:sz w:val="20"/>
                <w:szCs w:val="20"/>
              </w:rPr>
            </w:pPr>
            <w:r w:rsidRPr="003C64BC">
              <w:rPr>
                <w:rFonts w:ascii="Arial" w:hAnsi="Arial" w:cs="Arial"/>
                <w:b/>
                <w:bCs/>
                <w:color w:val="000000"/>
                <w:sz w:val="20"/>
                <w:szCs w:val="20"/>
              </w:rPr>
              <w:t>100%</w:t>
            </w:r>
          </w:p>
        </w:tc>
      </w:tr>
    </w:tbl>
    <w:p w14:paraId="16A2F2F5" w14:textId="4CAF7BDC" w:rsidR="003C64BC" w:rsidRDefault="003C64BC" w:rsidP="003C64BC">
      <w:pPr>
        <w:tabs>
          <w:tab w:val="left" w:pos="4402"/>
        </w:tabs>
        <w:spacing w:line="276" w:lineRule="auto"/>
        <w:rPr>
          <w:rFonts w:ascii="Bookman Old Style" w:hAnsi="Bookman Old Style" w:cs="Arial"/>
        </w:rPr>
      </w:pPr>
      <w:r>
        <w:rPr>
          <w:rFonts w:ascii="Bookman Old Style" w:hAnsi="Bookman Old Style" w:cs="Arial"/>
          <w:sz w:val="18"/>
          <w:szCs w:val="18"/>
        </w:rPr>
        <w:t xml:space="preserve">                       </w:t>
      </w:r>
      <w:r w:rsidRPr="000E18CE">
        <w:rPr>
          <w:rFonts w:ascii="Bookman Old Style" w:hAnsi="Bookman Old Style" w:cs="Arial"/>
          <w:sz w:val="18"/>
          <w:szCs w:val="18"/>
        </w:rPr>
        <w:t>Source : Enquête terrain, septembre 2021</w:t>
      </w:r>
    </w:p>
    <w:p w14:paraId="218765D8" w14:textId="5CD08473" w:rsidR="00562B16" w:rsidRPr="001310BC" w:rsidRDefault="00E63736" w:rsidP="0005354B">
      <w:pPr>
        <w:pStyle w:val="Titre3"/>
        <w:numPr>
          <w:ilvl w:val="2"/>
          <w:numId w:val="3"/>
        </w:numPr>
        <w:rPr>
          <w:rFonts w:ascii="Bookman Old Style" w:hAnsi="Bookman Old Style" w:cs="Arial"/>
          <w:i/>
          <w:iCs/>
        </w:rPr>
      </w:pPr>
      <w:bookmarkStart w:id="91" w:name="_Toc97822376"/>
      <w:r w:rsidRPr="001310BC">
        <w:rPr>
          <w:rFonts w:ascii="Bookman Old Style" w:hAnsi="Bookman Old Style" w:cs="Arial"/>
          <w:i/>
          <w:iCs/>
        </w:rPr>
        <w:t>Difficultés rencontrées par les COGES</w:t>
      </w:r>
      <w:bookmarkEnd w:id="91"/>
    </w:p>
    <w:p w14:paraId="5CA33A9F" w14:textId="77777777" w:rsidR="004C4082" w:rsidRPr="00DF33D6" w:rsidRDefault="004C4082" w:rsidP="00DF33D6">
      <w:pPr>
        <w:spacing w:before="240" w:line="276" w:lineRule="auto"/>
        <w:jc w:val="both"/>
        <w:rPr>
          <w:rFonts w:ascii="Bookman Old Style" w:hAnsi="Bookman Old Style"/>
        </w:rPr>
      </w:pPr>
      <w:r w:rsidRPr="00DF33D6">
        <w:rPr>
          <w:rFonts w:ascii="Bookman Old Style" w:hAnsi="Bookman Old Style"/>
        </w:rPr>
        <w:t>Trois principales difficultés ont été évoquées par les COGES GFS. Elles se rapportent à la question de :</w:t>
      </w:r>
    </w:p>
    <w:p w14:paraId="2FD13B10" w14:textId="780CC154" w:rsidR="004C4082" w:rsidRPr="00DF33D6" w:rsidRDefault="004C4082" w:rsidP="00DF33D6">
      <w:pPr>
        <w:spacing w:before="240" w:line="276" w:lineRule="auto"/>
        <w:jc w:val="both"/>
        <w:rPr>
          <w:rFonts w:ascii="Bookman Old Style" w:hAnsi="Bookman Old Style"/>
        </w:rPr>
      </w:pPr>
      <w:r w:rsidRPr="00DF33D6">
        <w:rPr>
          <w:rFonts w:ascii="Bookman Old Style" w:hAnsi="Bookman Old Style"/>
        </w:rPr>
        <w:t xml:space="preserve">Remboursement et reconstitution de stock : les COGES déplorent </w:t>
      </w:r>
      <w:r w:rsidR="00BF076C" w:rsidRPr="00DF33D6">
        <w:rPr>
          <w:rFonts w:ascii="Bookman Old Style" w:hAnsi="Bookman Old Style"/>
        </w:rPr>
        <w:t xml:space="preserve">d’une part </w:t>
      </w:r>
      <w:r w:rsidRPr="00DF33D6">
        <w:rPr>
          <w:rFonts w:ascii="Bookman Old Style" w:hAnsi="Bookman Old Style"/>
        </w:rPr>
        <w:t>le refus</w:t>
      </w:r>
      <w:r w:rsidR="00BF076C" w:rsidRPr="00DF33D6">
        <w:rPr>
          <w:rFonts w:ascii="Bookman Old Style" w:hAnsi="Bookman Old Style"/>
        </w:rPr>
        <w:t xml:space="preserve"> et/ou</w:t>
      </w:r>
      <w:r w:rsidRPr="00DF33D6">
        <w:rPr>
          <w:rFonts w:ascii="Bookman Old Style" w:hAnsi="Bookman Old Style"/>
        </w:rPr>
        <w:t xml:space="preserve"> retard qu’accusent les femmes à rembourser les prêt</w:t>
      </w:r>
      <w:r w:rsidR="00BF076C" w:rsidRPr="00DF33D6">
        <w:rPr>
          <w:rFonts w:ascii="Bookman Old Style" w:hAnsi="Bookman Old Style"/>
        </w:rPr>
        <w:t xml:space="preserve"> et d’autre part la tricherie en apportant de mil de mauvaise qualité, plein de déchets. Face à ce problème, les solutions préconisées par les COGES sont l’exclusion et le refus d’accorder un nouveau prêt aux contrevenants.</w:t>
      </w:r>
    </w:p>
    <w:p w14:paraId="72D22BE1" w14:textId="2D8B3DC4" w:rsidR="004C4082" w:rsidRPr="00DF33D6" w:rsidRDefault="004C4082" w:rsidP="00DF33D6">
      <w:pPr>
        <w:spacing w:before="240" w:line="276" w:lineRule="auto"/>
        <w:jc w:val="both"/>
        <w:rPr>
          <w:rFonts w:ascii="Bookman Old Style" w:hAnsi="Bookman Old Style"/>
        </w:rPr>
      </w:pPr>
      <w:r w:rsidRPr="00DF33D6">
        <w:rPr>
          <w:rFonts w:ascii="Bookman Old Style" w:hAnsi="Bookman Old Style"/>
        </w:rPr>
        <w:t>Reconditionnement et stockage :</w:t>
      </w:r>
      <w:r w:rsidR="00BF076C" w:rsidRPr="00DF33D6">
        <w:rPr>
          <w:rFonts w:ascii="Bookman Old Style" w:hAnsi="Bookman Old Style"/>
        </w:rPr>
        <w:t xml:space="preserve"> A ce niveau il s’agit plutôt de la dégradation des sacs et d’insuffisance des palettes pour protéger le stock. La solution apportée est l’achat de sacs neufs et des palettes </w:t>
      </w:r>
      <w:r w:rsidR="007B73A5" w:rsidRPr="00DF33D6">
        <w:rPr>
          <w:rFonts w:ascii="Bookman Old Style" w:hAnsi="Bookman Old Style"/>
        </w:rPr>
        <w:t>supplémentaires.</w:t>
      </w:r>
      <w:r w:rsidR="00BF076C" w:rsidRPr="00DF33D6">
        <w:rPr>
          <w:rFonts w:ascii="Bookman Old Style" w:hAnsi="Bookman Old Style"/>
        </w:rPr>
        <w:t xml:space="preserve"> </w:t>
      </w:r>
    </w:p>
    <w:p w14:paraId="57E4E279" w14:textId="0FC23217" w:rsidR="004C4082" w:rsidRPr="00DF33D6" w:rsidRDefault="007B73A5" w:rsidP="00DF33D6">
      <w:pPr>
        <w:spacing w:before="240" w:line="276" w:lineRule="auto"/>
        <w:jc w:val="both"/>
        <w:rPr>
          <w:rFonts w:ascii="Bookman Old Style" w:hAnsi="Bookman Old Style"/>
        </w:rPr>
      </w:pPr>
      <w:r w:rsidRPr="00DF33D6">
        <w:rPr>
          <w:rFonts w:ascii="Bookman Old Style" w:hAnsi="Bookman Old Style"/>
        </w:rPr>
        <w:t xml:space="preserve">Augmentation des membres GFS : Avec les nouvelles adhésions, les stocks GFS deviennent insuffisants et aucune solution n’a été proposée pour ce problème. </w:t>
      </w:r>
    </w:p>
    <w:p w14:paraId="4F44E75D" w14:textId="5BD93E42" w:rsidR="00D6096C" w:rsidRPr="00DF33D6" w:rsidRDefault="004C4082" w:rsidP="00DF33D6">
      <w:pPr>
        <w:spacing w:line="276" w:lineRule="auto"/>
        <w:jc w:val="both"/>
        <w:rPr>
          <w:rFonts w:ascii="Bookman Old Style" w:hAnsi="Bookman Old Style"/>
          <w:b/>
        </w:rPr>
      </w:pPr>
      <w:r w:rsidRPr="00DF33D6">
        <w:rPr>
          <w:rFonts w:ascii="Bookman Old Style" w:hAnsi="Bookman Old Style"/>
        </w:rPr>
        <w:t xml:space="preserve"> </w:t>
      </w:r>
    </w:p>
    <w:p w14:paraId="643A4674" w14:textId="0ED888B7" w:rsidR="00441F5B" w:rsidRDefault="006341AD" w:rsidP="007F0EFB">
      <w:pPr>
        <w:pStyle w:val="Paragraphedeliste"/>
        <w:numPr>
          <w:ilvl w:val="0"/>
          <w:numId w:val="3"/>
        </w:numPr>
        <w:spacing w:after="240" w:line="276" w:lineRule="auto"/>
        <w:outlineLvl w:val="0"/>
        <w:rPr>
          <w:rFonts w:ascii="Bookman Old Style" w:hAnsi="Bookman Old Style" w:cs="Arial"/>
          <w:b/>
        </w:rPr>
      </w:pPr>
      <w:bookmarkStart w:id="92" w:name="_Toc97822377"/>
      <w:r w:rsidRPr="004058C5">
        <w:rPr>
          <w:rFonts w:ascii="Bookman Old Style" w:hAnsi="Bookman Old Style" w:cs="Arial"/>
          <w:b/>
        </w:rPr>
        <w:t>RECOMMANDATIONS</w:t>
      </w:r>
      <w:bookmarkEnd w:id="92"/>
    </w:p>
    <w:p w14:paraId="1F9C78B7" w14:textId="3EE87B38" w:rsidR="003F4C44" w:rsidRPr="00DF33D6" w:rsidRDefault="003F4C44" w:rsidP="00DF33D6">
      <w:pPr>
        <w:spacing w:before="240" w:line="276" w:lineRule="auto"/>
        <w:jc w:val="both"/>
        <w:rPr>
          <w:rFonts w:ascii="Bookman Old Style" w:hAnsi="Bookman Old Style"/>
        </w:rPr>
      </w:pPr>
      <w:r w:rsidRPr="00DF33D6">
        <w:rPr>
          <w:rFonts w:ascii="Bookman Old Style" w:hAnsi="Bookman Old Style"/>
        </w:rPr>
        <w:t>Au regard des résultats de cette étude, les recommandations suivantes sont formulées :</w:t>
      </w:r>
    </w:p>
    <w:tbl>
      <w:tblPr>
        <w:tblStyle w:val="Grilledutableau"/>
        <w:tblW w:w="9067" w:type="dxa"/>
        <w:tblLook w:val="04A0" w:firstRow="1" w:lastRow="0" w:firstColumn="1" w:lastColumn="0" w:noHBand="0" w:noVBand="1"/>
      </w:tblPr>
      <w:tblGrid>
        <w:gridCol w:w="4957"/>
        <w:gridCol w:w="2165"/>
        <w:gridCol w:w="1945"/>
      </w:tblGrid>
      <w:tr w:rsidR="00D7420F" w:rsidRPr="00DF33D6" w14:paraId="563B39CD" w14:textId="77777777" w:rsidTr="00D7420F">
        <w:tc>
          <w:tcPr>
            <w:tcW w:w="4957" w:type="dxa"/>
            <w:shd w:val="clear" w:color="auto" w:fill="D6E3BC" w:themeFill="accent3" w:themeFillTint="66"/>
            <w:vAlign w:val="center"/>
          </w:tcPr>
          <w:p w14:paraId="5B28B359" w14:textId="0ED11C64" w:rsidR="003F4C44" w:rsidRPr="00DF33D6" w:rsidRDefault="003F4C44" w:rsidP="00DF33D6">
            <w:pPr>
              <w:spacing w:line="276" w:lineRule="auto"/>
              <w:jc w:val="center"/>
              <w:rPr>
                <w:rFonts w:ascii="Bookman Old Style" w:hAnsi="Bookman Old Style"/>
                <w:b/>
                <w:bCs/>
              </w:rPr>
            </w:pPr>
            <w:r w:rsidRPr="00DF33D6">
              <w:rPr>
                <w:rFonts w:ascii="Bookman Old Style" w:hAnsi="Bookman Old Style"/>
                <w:b/>
                <w:bCs/>
              </w:rPr>
              <w:t>Recommandations</w:t>
            </w:r>
          </w:p>
        </w:tc>
        <w:tc>
          <w:tcPr>
            <w:tcW w:w="0" w:type="auto"/>
            <w:shd w:val="clear" w:color="auto" w:fill="D6E3BC" w:themeFill="accent3" w:themeFillTint="66"/>
            <w:vAlign w:val="center"/>
          </w:tcPr>
          <w:p w14:paraId="4375428F" w14:textId="0DE2E326" w:rsidR="003F4C44" w:rsidRPr="00DF33D6" w:rsidRDefault="003F4C44" w:rsidP="00DF33D6">
            <w:pPr>
              <w:spacing w:line="276" w:lineRule="auto"/>
              <w:jc w:val="center"/>
              <w:rPr>
                <w:rFonts w:ascii="Bookman Old Style" w:hAnsi="Bookman Old Style"/>
                <w:b/>
                <w:bCs/>
              </w:rPr>
            </w:pPr>
            <w:r w:rsidRPr="00DF33D6">
              <w:rPr>
                <w:rFonts w:ascii="Bookman Old Style" w:hAnsi="Bookman Old Style"/>
                <w:b/>
                <w:bCs/>
              </w:rPr>
              <w:t xml:space="preserve">Responsables </w:t>
            </w:r>
          </w:p>
        </w:tc>
        <w:tc>
          <w:tcPr>
            <w:tcW w:w="1945" w:type="dxa"/>
            <w:shd w:val="clear" w:color="auto" w:fill="D6E3BC" w:themeFill="accent3" w:themeFillTint="66"/>
            <w:vAlign w:val="center"/>
          </w:tcPr>
          <w:p w14:paraId="04875101" w14:textId="1AE87940" w:rsidR="003F4C44" w:rsidRPr="00DF33D6" w:rsidRDefault="003F4C44" w:rsidP="00DF33D6">
            <w:pPr>
              <w:spacing w:line="276" w:lineRule="auto"/>
              <w:jc w:val="center"/>
              <w:rPr>
                <w:rFonts w:ascii="Bookman Old Style" w:hAnsi="Bookman Old Style"/>
                <w:b/>
                <w:bCs/>
              </w:rPr>
            </w:pPr>
            <w:r w:rsidRPr="00DF33D6">
              <w:rPr>
                <w:rFonts w:ascii="Bookman Old Style" w:hAnsi="Bookman Old Style"/>
                <w:b/>
                <w:bCs/>
              </w:rPr>
              <w:t>Délai</w:t>
            </w:r>
          </w:p>
        </w:tc>
      </w:tr>
      <w:tr w:rsidR="00DF33D6" w:rsidRPr="00DF33D6" w14:paraId="4D474305" w14:textId="77777777" w:rsidTr="00407C00">
        <w:tc>
          <w:tcPr>
            <w:tcW w:w="4957" w:type="dxa"/>
          </w:tcPr>
          <w:p w14:paraId="39254E48" w14:textId="16699F00" w:rsidR="003F4C44" w:rsidRPr="00DF33D6" w:rsidRDefault="00955106" w:rsidP="00DF33D6">
            <w:pPr>
              <w:spacing w:line="276" w:lineRule="auto"/>
              <w:jc w:val="both"/>
              <w:rPr>
                <w:rFonts w:ascii="Bookman Old Style" w:hAnsi="Bookman Old Style"/>
              </w:rPr>
            </w:pPr>
            <w:r w:rsidRPr="00DF33D6">
              <w:rPr>
                <w:rFonts w:ascii="Bookman Old Style" w:hAnsi="Bookman Old Style"/>
              </w:rPr>
              <w:t>Veiller davantage à la reconstitution des stocks GFS</w:t>
            </w:r>
          </w:p>
        </w:tc>
        <w:tc>
          <w:tcPr>
            <w:tcW w:w="0" w:type="auto"/>
            <w:vAlign w:val="center"/>
          </w:tcPr>
          <w:p w14:paraId="6738EDB4" w14:textId="41534ED8" w:rsidR="003F4C44" w:rsidRPr="00DF33D6" w:rsidRDefault="00955106" w:rsidP="00DF33D6">
            <w:pPr>
              <w:spacing w:line="276" w:lineRule="auto"/>
              <w:jc w:val="both"/>
              <w:rPr>
                <w:rFonts w:ascii="Bookman Old Style" w:hAnsi="Bookman Old Style"/>
              </w:rPr>
            </w:pPr>
            <w:r w:rsidRPr="00DF33D6">
              <w:rPr>
                <w:rFonts w:ascii="Bookman Old Style" w:hAnsi="Bookman Old Style"/>
              </w:rPr>
              <w:t>URGP Zinder</w:t>
            </w:r>
          </w:p>
        </w:tc>
        <w:tc>
          <w:tcPr>
            <w:tcW w:w="1945" w:type="dxa"/>
            <w:vAlign w:val="center"/>
          </w:tcPr>
          <w:p w14:paraId="0E041285" w14:textId="6193F6E6" w:rsidR="003F4C44" w:rsidRPr="00DF33D6" w:rsidRDefault="00955106" w:rsidP="00DF33D6">
            <w:pPr>
              <w:spacing w:line="276" w:lineRule="auto"/>
              <w:jc w:val="both"/>
              <w:rPr>
                <w:rFonts w:ascii="Bookman Old Style" w:hAnsi="Bookman Old Style"/>
              </w:rPr>
            </w:pPr>
            <w:r w:rsidRPr="00DF33D6">
              <w:rPr>
                <w:rFonts w:ascii="Bookman Old Style" w:hAnsi="Bookman Old Style"/>
              </w:rPr>
              <w:t>Continu</w:t>
            </w:r>
          </w:p>
        </w:tc>
      </w:tr>
      <w:tr w:rsidR="00DF33D6" w:rsidRPr="00DF33D6" w14:paraId="47B288D1" w14:textId="77777777" w:rsidTr="00407C00">
        <w:tc>
          <w:tcPr>
            <w:tcW w:w="4957" w:type="dxa"/>
          </w:tcPr>
          <w:p w14:paraId="41E2F454" w14:textId="14B5A344" w:rsidR="003F4C44" w:rsidRPr="00DF33D6" w:rsidRDefault="00407C00" w:rsidP="00DF33D6">
            <w:pPr>
              <w:spacing w:line="276" w:lineRule="auto"/>
              <w:jc w:val="both"/>
              <w:rPr>
                <w:rFonts w:ascii="Bookman Old Style" w:hAnsi="Bookman Old Style"/>
              </w:rPr>
            </w:pPr>
            <w:r w:rsidRPr="00DF33D6">
              <w:rPr>
                <w:rFonts w:ascii="Bookman Old Style" w:hAnsi="Bookman Old Style"/>
              </w:rPr>
              <w:t xml:space="preserve">Renforcer davantage les capacités des secrétaires dans la tenue des documents de gestion afin d’améliorer la traçabilité </w:t>
            </w:r>
            <w:r w:rsidRPr="00DF33D6">
              <w:rPr>
                <w:rFonts w:ascii="Bookman Old Style" w:hAnsi="Bookman Old Style"/>
              </w:rPr>
              <w:lastRenderedPageBreak/>
              <w:t>des opérations effectuées au magasin GFS</w:t>
            </w:r>
          </w:p>
        </w:tc>
        <w:tc>
          <w:tcPr>
            <w:tcW w:w="0" w:type="auto"/>
            <w:vAlign w:val="center"/>
          </w:tcPr>
          <w:p w14:paraId="3AC4085E" w14:textId="67B6CBDE" w:rsidR="003F4C44" w:rsidRPr="00DF33D6" w:rsidRDefault="00407C00" w:rsidP="00DF33D6">
            <w:pPr>
              <w:spacing w:line="276" w:lineRule="auto"/>
              <w:jc w:val="both"/>
              <w:rPr>
                <w:rFonts w:ascii="Bookman Old Style" w:hAnsi="Bookman Old Style"/>
              </w:rPr>
            </w:pPr>
            <w:r w:rsidRPr="00DF33D6">
              <w:rPr>
                <w:rFonts w:ascii="Bookman Old Style" w:hAnsi="Bookman Old Style"/>
              </w:rPr>
              <w:lastRenderedPageBreak/>
              <w:t>Toutes les URGP</w:t>
            </w:r>
          </w:p>
        </w:tc>
        <w:tc>
          <w:tcPr>
            <w:tcW w:w="1945" w:type="dxa"/>
            <w:vAlign w:val="center"/>
          </w:tcPr>
          <w:p w14:paraId="0D81CD6D" w14:textId="09127C10" w:rsidR="003F4C44" w:rsidRPr="00DF33D6" w:rsidRDefault="00407C00" w:rsidP="00DF33D6">
            <w:pPr>
              <w:spacing w:line="276" w:lineRule="auto"/>
              <w:jc w:val="both"/>
              <w:rPr>
                <w:rFonts w:ascii="Bookman Old Style" w:hAnsi="Bookman Old Style"/>
              </w:rPr>
            </w:pPr>
            <w:r w:rsidRPr="00DF33D6">
              <w:rPr>
                <w:rFonts w:ascii="Bookman Old Style" w:hAnsi="Bookman Old Style"/>
              </w:rPr>
              <w:t>Mai 2022</w:t>
            </w:r>
          </w:p>
        </w:tc>
      </w:tr>
      <w:tr w:rsidR="00DF33D6" w:rsidRPr="00DF33D6" w14:paraId="63D1DC6B" w14:textId="77777777" w:rsidTr="00407C00">
        <w:tc>
          <w:tcPr>
            <w:tcW w:w="4957" w:type="dxa"/>
          </w:tcPr>
          <w:p w14:paraId="273798F0" w14:textId="02CB0000" w:rsidR="003F4C44" w:rsidRPr="00DF33D6" w:rsidRDefault="00407C00" w:rsidP="00DF33D6">
            <w:pPr>
              <w:spacing w:line="276" w:lineRule="auto"/>
              <w:jc w:val="both"/>
              <w:rPr>
                <w:rFonts w:ascii="Bookman Old Style" w:hAnsi="Bookman Old Style"/>
              </w:rPr>
            </w:pPr>
            <w:r w:rsidRPr="00DF33D6">
              <w:rPr>
                <w:rFonts w:ascii="Bookman Old Style" w:hAnsi="Bookman Old Style"/>
              </w:rPr>
              <w:t xml:space="preserve">Accompagner les groupements </w:t>
            </w:r>
            <w:r w:rsidR="00E831AD" w:rsidRPr="00DF33D6">
              <w:rPr>
                <w:rFonts w:ascii="Bookman Old Style" w:hAnsi="Bookman Old Style"/>
              </w:rPr>
              <w:t>membres GFS à trouver des solutions simples et non contraignantes de renforcement des stocks afin de faire face aux nouvelles adhésions</w:t>
            </w:r>
          </w:p>
        </w:tc>
        <w:tc>
          <w:tcPr>
            <w:tcW w:w="0" w:type="auto"/>
            <w:vAlign w:val="center"/>
          </w:tcPr>
          <w:p w14:paraId="1AF2EEF4" w14:textId="71A68F3E" w:rsidR="003F4C44" w:rsidRPr="00DF33D6" w:rsidRDefault="00E831AD" w:rsidP="00DF33D6">
            <w:pPr>
              <w:spacing w:line="276" w:lineRule="auto"/>
              <w:jc w:val="both"/>
              <w:rPr>
                <w:rFonts w:ascii="Bookman Old Style" w:hAnsi="Bookman Old Style"/>
              </w:rPr>
            </w:pPr>
            <w:r w:rsidRPr="00DF33D6">
              <w:rPr>
                <w:rFonts w:ascii="Bookman Old Style" w:hAnsi="Bookman Old Style"/>
              </w:rPr>
              <w:t>Toutes les URGP</w:t>
            </w:r>
          </w:p>
        </w:tc>
        <w:tc>
          <w:tcPr>
            <w:tcW w:w="1945" w:type="dxa"/>
            <w:vAlign w:val="center"/>
          </w:tcPr>
          <w:p w14:paraId="74C5D038" w14:textId="2EE68977" w:rsidR="003F4C44" w:rsidRPr="00DF33D6" w:rsidRDefault="00E831AD" w:rsidP="00DF33D6">
            <w:pPr>
              <w:spacing w:line="276" w:lineRule="auto"/>
              <w:jc w:val="both"/>
              <w:rPr>
                <w:rFonts w:ascii="Bookman Old Style" w:hAnsi="Bookman Old Style"/>
              </w:rPr>
            </w:pPr>
            <w:r w:rsidRPr="00DF33D6">
              <w:rPr>
                <w:rFonts w:ascii="Bookman Old Style" w:hAnsi="Bookman Old Style"/>
              </w:rPr>
              <w:t>Mai 2022</w:t>
            </w:r>
          </w:p>
        </w:tc>
      </w:tr>
    </w:tbl>
    <w:p w14:paraId="144AE91E" w14:textId="2AABE5D2" w:rsidR="004472FB" w:rsidRPr="00DF33D6" w:rsidRDefault="004472FB" w:rsidP="00DF33D6">
      <w:pPr>
        <w:spacing w:line="276" w:lineRule="auto"/>
        <w:jc w:val="both"/>
        <w:rPr>
          <w:rFonts w:ascii="Bookman Old Style" w:hAnsi="Bookman Old Style"/>
        </w:rPr>
      </w:pPr>
    </w:p>
    <w:p w14:paraId="56228735" w14:textId="04737684" w:rsidR="004472FB" w:rsidRPr="004058C5" w:rsidRDefault="004472FB" w:rsidP="007F0EFB">
      <w:pPr>
        <w:pStyle w:val="Paragraphedeliste"/>
        <w:numPr>
          <w:ilvl w:val="0"/>
          <w:numId w:val="3"/>
        </w:numPr>
        <w:spacing w:after="240" w:line="276" w:lineRule="auto"/>
        <w:outlineLvl w:val="0"/>
        <w:rPr>
          <w:rFonts w:ascii="Bookman Old Style" w:hAnsi="Bookman Old Style" w:cs="Arial"/>
          <w:b/>
        </w:rPr>
      </w:pPr>
      <w:bookmarkStart w:id="93" w:name="_Toc97822378"/>
      <w:r w:rsidRPr="004058C5">
        <w:rPr>
          <w:rFonts w:ascii="Bookman Old Style" w:hAnsi="Bookman Old Style" w:cs="Arial"/>
          <w:b/>
        </w:rPr>
        <w:t>CONCLUSION</w:t>
      </w:r>
      <w:bookmarkEnd w:id="93"/>
    </w:p>
    <w:p w14:paraId="2BAB7828" w14:textId="3D60CB57" w:rsidR="00441F5B" w:rsidRPr="00DF33D6" w:rsidRDefault="00726E38" w:rsidP="00DF33D6">
      <w:pPr>
        <w:spacing w:before="240" w:line="276" w:lineRule="auto"/>
        <w:jc w:val="both"/>
        <w:rPr>
          <w:rFonts w:ascii="Bookman Old Style" w:hAnsi="Bookman Old Style"/>
        </w:rPr>
      </w:pPr>
      <w:r w:rsidRPr="00DF33D6">
        <w:rPr>
          <w:rFonts w:ascii="Bookman Old Style" w:hAnsi="Bookman Old Style"/>
        </w:rPr>
        <w:t>Le ProDAF met à l’échelle depuis 2016 l’initiative de la mise en place des GFS dans le but de contribuer au renforcement de la sécurité alimentaire et nutritionnelle des ménages ruraux. A cet effet, la CENRAT a menée une enquête pour apprécier les résultats atteints par le programme à travers cette initiative GFS.</w:t>
      </w:r>
    </w:p>
    <w:p w14:paraId="45658F7D" w14:textId="6DB3B016" w:rsidR="00726E38" w:rsidRPr="00DF33D6" w:rsidRDefault="00726E38" w:rsidP="00DF33D6">
      <w:pPr>
        <w:spacing w:before="240" w:line="276" w:lineRule="auto"/>
        <w:jc w:val="both"/>
        <w:rPr>
          <w:rFonts w:ascii="Bookman Old Style" w:hAnsi="Bookman Old Style"/>
        </w:rPr>
      </w:pPr>
      <w:r w:rsidRPr="00DF33D6">
        <w:rPr>
          <w:rFonts w:ascii="Bookman Old Style" w:hAnsi="Bookman Old Style"/>
        </w:rPr>
        <w:t>Les résultats de l’étude font ressortir qu</w:t>
      </w:r>
      <w:r w:rsidR="0081453F" w:rsidRPr="00DF33D6">
        <w:rPr>
          <w:rFonts w:ascii="Bookman Old Style" w:hAnsi="Bookman Old Style"/>
        </w:rPr>
        <w:t>’une quantité importante des vivres a été cédée aux membres GFS à des moments où les stocks alimentaires des ménages ruraux sont épuisés. Ce qui constitue une bouffée d’oxygène pour les plus vulnérables. Ces céréales ont permis et contribuer à consacrer plus de temps à l’exploitation des champs familiaux, ce qui n’était pas toujours possible avant.</w:t>
      </w:r>
    </w:p>
    <w:p w14:paraId="3B758810" w14:textId="77777777" w:rsidR="00C72AC2" w:rsidRPr="00DF33D6" w:rsidRDefault="00C72AC2" w:rsidP="00DF33D6">
      <w:pPr>
        <w:spacing w:before="240" w:line="276" w:lineRule="auto"/>
        <w:jc w:val="both"/>
        <w:rPr>
          <w:rFonts w:ascii="Bookman Old Style" w:hAnsi="Bookman Old Style"/>
        </w:rPr>
      </w:pPr>
      <w:r w:rsidRPr="00DF33D6">
        <w:rPr>
          <w:rFonts w:ascii="Bookman Old Style" w:hAnsi="Bookman Old Style"/>
        </w:rPr>
        <w:t>Les ménages à leur grande majorité arrivent à rembourser le prêt. Cependant, il est important de signaler que la question de remboursement et reconstitution de stock est à suivre de près à Zinder où une quantité importante n’a pas été remboursée.</w:t>
      </w:r>
    </w:p>
    <w:p w14:paraId="2177227F" w14:textId="6F373BDA" w:rsidR="0081453F" w:rsidRPr="00DF33D6" w:rsidRDefault="00955106" w:rsidP="00DF33D6">
      <w:pPr>
        <w:spacing w:before="240" w:line="276" w:lineRule="auto"/>
        <w:jc w:val="both"/>
        <w:rPr>
          <w:rFonts w:ascii="Bookman Old Style" w:hAnsi="Bookman Old Style"/>
        </w:rPr>
      </w:pPr>
      <w:r w:rsidRPr="00DF33D6">
        <w:rPr>
          <w:rFonts w:ascii="Bookman Old Style" w:hAnsi="Bookman Old Style"/>
        </w:rPr>
        <w:t>Le GFS contribue à l’amélioration de la sécurité alimentaire et nutritionnelle des ménages. Les résultats ont montré l’augmentation de nombre des repas par jour au sein des ménages dont le corollaire est l’augmentation de couverture alimentaire et la réduction de période de soudure.</w:t>
      </w:r>
      <w:r w:rsidR="00C72AC2" w:rsidRPr="00DF33D6">
        <w:rPr>
          <w:rFonts w:ascii="Bookman Old Style" w:hAnsi="Bookman Old Style"/>
        </w:rPr>
        <w:t xml:space="preserve"> </w:t>
      </w:r>
    </w:p>
    <w:p w14:paraId="35000CC3" w14:textId="7FAF5DFB" w:rsidR="00955106" w:rsidRPr="00DF33D6" w:rsidRDefault="00992117" w:rsidP="00DF33D6">
      <w:pPr>
        <w:spacing w:before="240" w:line="276" w:lineRule="auto"/>
        <w:jc w:val="both"/>
        <w:rPr>
          <w:rFonts w:ascii="Bookman Old Style" w:hAnsi="Bookman Old Style"/>
        </w:rPr>
      </w:pPr>
      <w:r w:rsidRPr="00DF33D6">
        <w:rPr>
          <w:rFonts w:ascii="Bookman Old Style" w:hAnsi="Bookman Old Style"/>
        </w:rPr>
        <w:t xml:space="preserve">La réduction de recours au prêt par les ménages ruraux vulnérable est aussi l’un des résultats atteints par le GFS. Cette réduction est même de plus de 50% à Maradi. </w:t>
      </w:r>
    </w:p>
    <w:p w14:paraId="05B5680A" w14:textId="1BA7155A" w:rsidR="00992117" w:rsidRPr="00DF33D6" w:rsidRDefault="00992117" w:rsidP="00DF33D6">
      <w:pPr>
        <w:spacing w:before="240" w:line="276" w:lineRule="auto"/>
        <w:jc w:val="both"/>
        <w:rPr>
          <w:rFonts w:ascii="Bookman Old Style" w:hAnsi="Bookman Old Style"/>
        </w:rPr>
      </w:pPr>
      <w:r w:rsidRPr="00DF33D6">
        <w:rPr>
          <w:rFonts w:ascii="Bookman Old Style" w:hAnsi="Bookman Old Style"/>
        </w:rPr>
        <w:t xml:space="preserve">La gestion de GFS est globalement satisfaisante. Néanmoins, un effort supplémentaire doit être fourni par les acteurs pour mieux servir les membres à travers </w:t>
      </w:r>
      <w:r w:rsidR="00407C00" w:rsidRPr="00DF33D6">
        <w:rPr>
          <w:rFonts w:ascii="Bookman Old Style" w:hAnsi="Bookman Old Style"/>
        </w:rPr>
        <w:t>des actions de redevabilité et de traçabilité des opérations.</w:t>
      </w:r>
      <w:r w:rsidRPr="00DF33D6">
        <w:rPr>
          <w:rFonts w:ascii="Bookman Old Style" w:hAnsi="Bookman Old Style"/>
        </w:rPr>
        <w:t xml:space="preserve"> </w:t>
      </w:r>
    </w:p>
    <w:p w14:paraId="048E6994" w14:textId="012F15AC" w:rsidR="00275B4D" w:rsidRPr="00DF33D6" w:rsidRDefault="00275B4D" w:rsidP="00DF33D6">
      <w:pPr>
        <w:spacing w:line="276" w:lineRule="auto"/>
        <w:jc w:val="both"/>
        <w:rPr>
          <w:rFonts w:ascii="Bookman Old Style" w:hAnsi="Bookman Old Style"/>
        </w:rPr>
      </w:pPr>
    </w:p>
    <w:p w14:paraId="230734F6" w14:textId="70C6B874" w:rsidR="00275B4D" w:rsidRPr="00275B4D" w:rsidRDefault="00275B4D" w:rsidP="00275B4D">
      <w:pPr>
        <w:spacing w:after="240" w:line="276" w:lineRule="auto"/>
        <w:outlineLvl w:val="0"/>
        <w:rPr>
          <w:rFonts w:ascii="Bookman Old Style" w:hAnsi="Bookman Old Style" w:cs="Arial"/>
          <w:b/>
        </w:rPr>
      </w:pPr>
      <w:bookmarkStart w:id="94" w:name="_Toc97822379"/>
      <w:r w:rsidRPr="00275B4D">
        <w:rPr>
          <w:rFonts w:ascii="Bookman Old Style" w:hAnsi="Bookman Old Style" w:cs="Arial"/>
          <w:b/>
        </w:rPr>
        <w:t>BIBLIOGRAPHIE</w:t>
      </w:r>
      <w:bookmarkEnd w:id="94"/>
    </w:p>
    <w:p w14:paraId="5001A987" w14:textId="676ED61B" w:rsidR="003E7C80" w:rsidRPr="00596BE7" w:rsidRDefault="003E7C80" w:rsidP="00656340">
      <w:pPr>
        <w:spacing w:line="276" w:lineRule="auto"/>
        <w:outlineLvl w:val="0"/>
        <w:rPr>
          <w:rFonts w:ascii="Bookman Old Style" w:eastAsia="Arial Unicode MS" w:hAnsi="Bookman Old Style" w:cs="Arial"/>
        </w:rPr>
      </w:pPr>
    </w:p>
    <w:sectPr w:rsidR="003E7C80" w:rsidRPr="00596BE7" w:rsidSect="005F5262">
      <w:footerReference w:type="default" r:id="rId46"/>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C239D" w14:textId="77777777" w:rsidR="00AB3ED6" w:rsidRDefault="00AB3ED6" w:rsidP="00D16800">
      <w:r>
        <w:separator/>
      </w:r>
    </w:p>
  </w:endnote>
  <w:endnote w:type="continuationSeparator" w:id="0">
    <w:p w14:paraId="259BDB35" w14:textId="77777777" w:rsidR="00AB3ED6" w:rsidRDefault="00AB3ED6" w:rsidP="00D1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Md BT">
    <w:altName w:val="Lucida Sans Unicode"/>
    <w:panose1 w:val="00000000000000000000"/>
    <w:charset w:val="00"/>
    <w:family w:val="swiss"/>
    <w:notTrueType/>
    <w:pitch w:val="variable"/>
    <w:sig w:usb0="00000003" w:usb1="00000000" w:usb2="00000000" w:usb3="00000000" w:csb0="00000001" w:csb1="00000000"/>
  </w:font>
  <w:font w:name="Tiffany Lt B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WAAAA+F0">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082460"/>
      <w:docPartObj>
        <w:docPartGallery w:val="Page Numbers (Bottom of Page)"/>
        <w:docPartUnique/>
      </w:docPartObj>
    </w:sdtPr>
    <w:sdtContent>
      <w:p w14:paraId="7B030EFD" w14:textId="63BA0C29" w:rsidR="00441F5B" w:rsidRDefault="00441F5B">
        <w:pPr>
          <w:pStyle w:val="Pieddepage"/>
          <w:jc w:val="right"/>
        </w:pPr>
        <w:r>
          <w:fldChar w:fldCharType="begin"/>
        </w:r>
        <w:r>
          <w:instrText>PAGE   \* MERGEFORMAT</w:instrText>
        </w:r>
        <w:r>
          <w:fldChar w:fldCharType="separate"/>
        </w:r>
        <w:r w:rsidR="004A0119">
          <w:rPr>
            <w:noProof/>
          </w:rPr>
          <w:t>4</w:t>
        </w:r>
        <w:r>
          <w:fldChar w:fldCharType="end"/>
        </w:r>
      </w:p>
    </w:sdtContent>
  </w:sdt>
  <w:p w14:paraId="0F912EB8" w14:textId="77777777" w:rsidR="00441F5B" w:rsidRDefault="00441F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B2284" w14:textId="77777777" w:rsidR="00AB3ED6" w:rsidRDefault="00AB3ED6" w:rsidP="00D16800">
      <w:r>
        <w:separator/>
      </w:r>
    </w:p>
  </w:footnote>
  <w:footnote w:type="continuationSeparator" w:id="0">
    <w:p w14:paraId="3E44549F" w14:textId="77777777" w:rsidR="00AB3ED6" w:rsidRDefault="00AB3ED6" w:rsidP="00D16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0FE243C"/>
    <w:lvl w:ilvl="0">
      <w:start w:val="1"/>
      <w:numFmt w:val="upperLetter"/>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lowerLetter"/>
      <w:pStyle w:val="Titre4"/>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none"/>
      <w:pStyle w:val="Titre6"/>
      <w:lvlText w:val=""/>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 w15:restartNumberingAfterBreak="0">
    <w:nsid w:val="0D4B1DCA"/>
    <w:multiLevelType w:val="multilevel"/>
    <w:tmpl w:val="357C2C0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06D60D0"/>
    <w:multiLevelType w:val="hybridMultilevel"/>
    <w:tmpl w:val="B73E7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89564F"/>
    <w:multiLevelType w:val="hybridMultilevel"/>
    <w:tmpl w:val="9D1A7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662CF"/>
    <w:multiLevelType w:val="multilevel"/>
    <w:tmpl w:val="E356DA8E"/>
    <w:lvl w:ilvl="0">
      <w:start w:val="1"/>
      <w:numFmt w:val="decimal"/>
      <w:pStyle w:val="IFADparagraphnumbering"/>
      <w:lvlText w:val="%1."/>
      <w:lvlJc w:val="left"/>
      <w:pPr>
        <w:tabs>
          <w:tab w:val="num" w:pos="567"/>
        </w:tabs>
      </w:pPr>
      <w:rPr>
        <w:rFonts w:cs="Times New Roman" w:hint="default"/>
      </w:rPr>
    </w:lvl>
    <w:lvl w:ilvl="1">
      <w:start w:val="1"/>
      <w:numFmt w:val="lowerLetter"/>
      <w:pStyle w:val="IFADparagraphno2ndlevel"/>
      <w:lvlText w:val="(%2)"/>
      <w:lvlJc w:val="left"/>
      <w:pPr>
        <w:tabs>
          <w:tab w:val="num" w:pos="1134"/>
        </w:tabs>
        <w:ind w:left="1134" w:hanging="567"/>
      </w:pPr>
      <w:rPr>
        <w:rFonts w:cs="Times New Roman" w:hint="default"/>
      </w:rPr>
    </w:lvl>
    <w:lvl w:ilvl="2">
      <w:start w:val="1"/>
      <w:numFmt w:val="lowerRoman"/>
      <w:pStyle w:val="IFADparagraphno3rdlevel"/>
      <w:lvlText w:val="(%3)"/>
      <w:lvlJc w:val="right"/>
      <w:pPr>
        <w:tabs>
          <w:tab w:val="num" w:pos="1418"/>
        </w:tabs>
        <w:ind w:left="1418" w:hanging="284"/>
      </w:pPr>
      <w:rPr>
        <w:rFonts w:cs="Times New Roman" w:hint="default"/>
      </w:rPr>
    </w:lvl>
    <w:lvl w:ilvl="3">
      <w:start w:val="1"/>
      <w:numFmt w:val="bullet"/>
      <w:pStyle w:val="IFADparagraphno4thlevel"/>
      <w:lvlText w:val="-"/>
      <w:lvlJc w:val="left"/>
      <w:pPr>
        <w:tabs>
          <w:tab w:val="num" w:pos="1701"/>
        </w:tabs>
        <w:ind w:left="1701" w:hanging="283"/>
      </w:pPr>
      <w:rPr>
        <w:rFonts w:ascii="Times New Roman" w:hAnsi="Times New Roman" w:hint="default"/>
        <w:color w:val="auto"/>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12E17727"/>
    <w:multiLevelType w:val="hybridMultilevel"/>
    <w:tmpl w:val="182CA99C"/>
    <w:lvl w:ilvl="0" w:tplc="239A3A46">
      <w:start w:val="61"/>
      <w:numFmt w:val="decimal"/>
      <w:lvlText w:val="%1."/>
      <w:lvlJc w:val="left"/>
      <w:pPr>
        <w:ind w:left="756"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970690"/>
    <w:multiLevelType w:val="hybridMultilevel"/>
    <w:tmpl w:val="D1982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1D2EFC"/>
    <w:multiLevelType w:val="hybridMultilevel"/>
    <w:tmpl w:val="C0FE4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120CEB"/>
    <w:multiLevelType w:val="hybridMultilevel"/>
    <w:tmpl w:val="89C84BC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7808E5"/>
    <w:multiLevelType w:val="hybridMultilevel"/>
    <w:tmpl w:val="D326F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1F116D"/>
    <w:multiLevelType w:val="hybridMultilevel"/>
    <w:tmpl w:val="FC9CA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5A5C16"/>
    <w:multiLevelType w:val="hybridMultilevel"/>
    <w:tmpl w:val="E44A7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E028CB"/>
    <w:multiLevelType w:val="hybridMultilevel"/>
    <w:tmpl w:val="4392BA3E"/>
    <w:lvl w:ilvl="0" w:tplc="EF8A0D52">
      <w:start w:val="1"/>
      <w:numFmt w:val="bullet"/>
      <w:lvlText w:val=""/>
      <w:lvlJc w:val="left"/>
      <w:pPr>
        <w:ind w:left="720" w:hanging="360"/>
      </w:pPr>
      <w:rPr>
        <w:rFonts w:ascii="Wingdings" w:hAnsi="Wingdings"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355F79"/>
    <w:multiLevelType w:val="hybridMultilevel"/>
    <w:tmpl w:val="13283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1A2632"/>
    <w:multiLevelType w:val="hybridMultilevel"/>
    <w:tmpl w:val="26643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ED359F"/>
    <w:multiLevelType w:val="hybridMultilevel"/>
    <w:tmpl w:val="817E5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5535F4"/>
    <w:multiLevelType w:val="multilevel"/>
    <w:tmpl w:val="45344AC0"/>
    <w:lvl w:ilvl="0">
      <w:start w:val="1"/>
      <w:numFmt w:val="upperRoman"/>
      <w:lvlText w:val="%1."/>
      <w:lvlJc w:val="left"/>
      <w:pPr>
        <w:ind w:left="1080" w:hanging="720"/>
      </w:pPr>
      <w:rPr>
        <w:rFonts w:eastAsia="Times New Roman" w:cs="Arial"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FC6557"/>
    <w:multiLevelType w:val="hybridMultilevel"/>
    <w:tmpl w:val="F5D48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3B44D4"/>
    <w:multiLevelType w:val="hybridMultilevel"/>
    <w:tmpl w:val="9E522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05187F"/>
    <w:multiLevelType w:val="hybridMultilevel"/>
    <w:tmpl w:val="EE76C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2E4ABF"/>
    <w:multiLevelType w:val="hybridMultilevel"/>
    <w:tmpl w:val="A27CD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A35D96"/>
    <w:multiLevelType w:val="hybridMultilevel"/>
    <w:tmpl w:val="12E2EE72"/>
    <w:lvl w:ilvl="0" w:tplc="249A9F2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4E15846"/>
    <w:multiLevelType w:val="hybridMultilevel"/>
    <w:tmpl w:val="09462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AE2F54"/>
    <w:multiLevelType w:val="hybridMultilevel"/>
    <w:tmpl w:val="79CE7674"/>
    <w:lvl w:ilvl="0" w:tplc="B33215C4">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480C4B"/>
    <w:multiLevelType w:val="hybridMultilevel"/>
    <w:tmpl w:val="A5AE7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4842FC6"/>
    <w:multiLevelType w:val="hybridMultilevel"/>
    <w:tmpl w:val="DCCE6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831C80"/>
    <w:multiLevelType w:val="multilevel"/>
    <w:tmpl w:val="22FC89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D92201D"/>
    <w:multiLevelType w:val="hybridMultilevel"/>
    <w:tmpl w:val="9D72AB8E"/>
    <w:lvl w:ilvl="0" w:tplc="DF8CA5C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083706">
    <w:abstractNumId w:val="0"/>
  </w:num>
  <w:num w:numId="2" w16cid:durableId="2055932035">
    <w:abstractNumId w:val="4"/>
  </w:num>
  <w:num w:numId="3" w16cid:durableId="825362091">
    <w:abstractNumId w:val="1"/>
  </w:num>
  <w:num w:numId="4" w16cid:durableId="69738815">
    <w:abstractNumId w:val="19"/>
  </w:num>
  <w:num w:numId="5" w16cid:durableId="1686782144">
    <w:abstractNumId w:val="20"/>
  </w:num>
  <w:num w:numId="6" w16cid:durableId="1260409950">
    <w:abstractNumId w:val="23"/>
  </w:num>
  <w:num w:numId="7" w16cid:durableId="1501508866">
    <w:abstractNumId w:val="26"/>
  </w:num>
  <w:num w:numId="8" w16cid:durableId="4730631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6814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78730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2847852">
    <w:abstractNumId w:val="13"/>
  </w:num>
  <w:num w:numId="12" w16cid:durableId="1629244241">
    <w:abstractNumId w:val="21"/>
  </w:num>
  <w:num w:numId="13" w16cid:durableId="366485892">
    <w:abstractNumId w:val="2"/>
  </w:num>
  <w:num w:numId="14" w16cid:durableId="1975407151">
    <w:abstractNumId w:val="24"/>
  </w:num>
  <w:num w:numId="15" w16cid:durableId="274409597">
    <w:abstractNumId w:val="27"/>
  </w:num>
  <w:num w:numId="16" w16cid:durableId="1631865872">
    <w:abstractNumId w:val="10"/>
  </w:num>
  <w:num w:numId="17" w16cid:durableId="1683823714">
    <w:abstractNumId w:val="14"/>
  </w:num>
  <w:num w:numId="18" w16cid:durableId="1511141073">
    <w:abstractNumId w:val="9"/>
  </w:num>
  <w:num w:numId="19" w16cid:durableId="441844659">
    <w:abstractNumId w:val="22"/>
  </w:num>
  <w:num w:numId="20" w16cid:durableId="1683050540">
    <w:abstractNumId w:val="25"/>
  </w:num>
  <w:num w:numId="21" w16cid:durableId="691221634">
    <w:abstractNumId w:val="18"/>
  </w:num>
  <w:num w:numId="22" w16cid:durableId="6710395">
    <w:abstractNumId w:val="6"/>
  </w:num>
  <w:num w:numId="23" w16cid:durableId="318845859">
    <w:abstractNumId w:val="17"/>
  </w:num>
  <w:num w:numId="24" w16cid:durableId="1590428457">
    <w:abstractNumId w:val="11"/>
  </w:num>
  <w:num w:numId="25" w16cid:durableId="1432508321">
    <w:abstractNumId w:val="3"/>
  </w:num>
  <w:num w:numId="26" w16cid:durableId="909778430">
    <w:abstractNumId w:val="16"/>
  </w:num>
  <w:num w:numId="27" w16cid:durableId="614555076">
    <w:abstractNumId w:val="7"/>
  </w:num>
  <w:num w:numId="28" w16cid:durableId="1214999543">
    <w:abstractNumId w:val="5"/>
  </w:num>
  <w:num w:numId="29" w16cid:durableId="1036353087">
    <w:abstractNumId w:val="8"/>
  </w:num>
  <w:num w:numId="30" w16cid:durableId="759956677">
    <w:abstractNumId w:val="0"/>
  </w:num>
  <w:num w:numId="31" w16cid:durableId="2082560923">
    <w:abstractNumId w:val="0"/>
  </w:num>
  <w:num w:numId="32" w16cid:durableId="1530950696">
    <w:abstractNumId w:val="0"/>
  </w:num>
  <w:num w:numId="33" w16cid:durableId="1657302149">
    <w:abstractNumId w:val="0"/>
  </w:num>
  <w:num w:numId="34" w16cid:durableId="1780225144">
    <w:abstractNumId w:val="0"/>
  </w:num>
  <w:num w:numId="35" w16cid:durableId="738136684">
    <w:abstractNumId w:val="0"/>
  </w:num>
  <w:num w:numId="36" w16cid:durableId="548030803">
    <w:abstractNumId w:val="0"/>
  </w:num>
  <w:num w:numId="37" w16cid:durableId="1407457516">
    <w:abstractNumId w:val="0"/>
  </w:num>
  <w:num w:numId="38" w16cid:durableId="1300186530">
    <w:abstractNumId w:val="0"/>
  </w:num>
  <w:num w:numId="39" w16cid:durableId="168984351">
    <w:abstractNumId w:val="0"/>
  </w:num>
  <w:num w:numId="40" w16cid:durableId="599217861">
    <w:abstractNumId w:val="0"/>
  </w:num>
  <w:num w:numId="41" w16cid:durableId="1219046526">
    <w:abstractNumId w:val="0"/>
  </w:num>
  <w:num w:numId="42" w16cid:durableId="78409710">
    <w:abstractNumId w:val="0"/>
  </w:num>
  <w:num w:numId="43" w16cid:durableId="235823726">
    <w:abstractNumId w:val="0"/>
  </w:num>
  <w:num w:numId="44" w16cid:durableId="1618560984">
    <w:abstractNumId w:val="0"/>
  </w:num>
  <w:num w:numId="45" w16cid:durableId="1241062287">
    <w:abstractNumId w:val="0"/>
  </w:num>
  <w:num w:numId="46" w16cid:durableId="1257518761">
    <w:abstractNumId w:val="0"/>
  </w:num>
  <w:num w:numId="47" w16cid:durableId="1270892977">
    <w:abstractNumId w:val="12"/>
  </w:num>
  <w:num w:numId="48" w16cid:durableId="1510947519">
    <w:abstractNumId w:val="15"/>
  </w:num>
  <w:num w:numId="49" w16cid:durableId="41270586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00"/>
    <w:rsid w:val="00000D8F"/>
    <w:rsid w:val="000037E7"/>
    <w:rsid w:val="00004EC0"/>
    <w:rsid w:val="00006962"/>
    <w:rsid w:val="00007453"/>
    <w:rsid w:val="00007928"/>
    <w:rsid w:val="000102D0"/>
    <w:rsid w:val="000114B8"/>
    <w:rsid w:val="0001177B"/>
    <w:rsid w:val="0001302E"/>
    <w:rsid w:val="00015806"/>
    <w:rsid w:val="00022265"/>
    <w:rsid w:val="000229B8"/>
    <w:rsid w:val="000234EB"/>
    <w:rsid w:val="000251B2"/>
    <w:rsid w:val="00025836"/>
    <w:rsid w:val="00025EBE"/>
    <w:rsid w:val="00026189"/>
    <w:rsid w:val="00026C1E"/>
    <w:rsid w:val="00032DAA"/>
    <w:rsid w:val="00041166"/>
    <w:rsid w:val="00041615"/>
    <w:rsid w:val="000446E0"/>
    <w:rsid w:val="000451F7"/>
    <w:rsid w:val="00047BD0"/>
    <w:rsid w:val="0005354B"/>
    <w:rsid w:val="0005489C"/>
    <w:rsid w:val="00060104"/>
    <w:rsid w:val="000631EE"/>
    <w:rsid w:val="000632C5"/>
    <w:rsid w:val="00065655"/>
    <w:rsid w:val="00065754"/>
    <w:rsid w:val="0006749B"/>
    <w:rsid w:val="00070C9C"/>
    <w:rsid w:val="00074284"/>
    <w:rsid w:val="00075AB9"/>
    <w:rsid w:val="00076D47"/>
    <w:rsid w:val="00077F51"/>
    <w:rsid w:val="000809EB"/>
    <w:rsid w:val="00085A2A"/>
    <w:rsid w:val="000877E7"/>
    <w:rsid w:val="000922C6"/>
    <w:rsid w:val="00096CAE"/>
    <w:rsid w:val="00097BAF"/>
    <w:rsid w:val="000A1D50"/>
    <w:rsid w:val="000A6A36"/>
    <w:rsid w:val="000B0423"/>
    <w:rsid w:val="000B0762"/>
    <w:rsid w:val="000B4CC4"/>
    <w:rsid w:val="000B5863"/>
    <w:rsid w:val="000B5B70"/>
    <w:rsid w:val="000B671C"/>
    <w:rsid w:val="000C0302"/>
    <w:rsid w:val="000C25AA"/>
    <w:rsid w:val="000C2D02"/>
    <w:rsid w:val="000C4BD0"/>
    <w:rsid w:val="000C5660"/>
    <w:rsid w:val="000C5BD0"/>
    <w:rsid w:val="000C7C2A"/>
    <w:rsid w:val="000D006F"/>
    <w:rsid w:val="000D056A"/>
    <w:rsid w:val="000D05C9"/>
    <w:rsid w:val="000D15B1"/>
    <w:rsid w:val="000D1C14"/>
    <w:rsid w:val="000D4946"/>
    <w:rsid w:val="000D5C80"/>
    <w:rsid w:val="000D6802"/>
    <w:rsid w:val="000E14B9"/>
    <w:rsid w:val="000E18CE"/>
    <w:rsid w:val="000E580D"/>
    <w:rsid w:val="000E635B"/>
    <w:rsid w:val="000E6EA4"/>
    <w:rsid w:val="000E7137"/>
    <w:rsid w:val="000F3B2B"/>
    <w:rsid w:val="000F68F1"/>
    <w:rsid w:val="000F6B21"/>
    <w:rsid w:val="000F7662"/>
    <w:rsid w:val="001027FF"/>
    <w:rsid w:val="00102DC7"/>
    <w:rsid w:val="00103FD6"/>
    <w:rsid w:val="001078D8"/>
    <w:rsid w:val="00107C93"/>
    <w:rsid w:val="00110C5D"/>
    <w:rsid w:val="00115624"/>
    <w:rsid w:val="00125146"/>
    <w:rsid w:val="001252A1"/>
    <w:rsid w:val="00127920"/>
    <w:rsid w:val="00130000"/>
    <w:rsid w:val="001305A7"/>
    <w:rsid w:val="0013079E"/>
    <w:rsid w:val="00130AB1"/>
    <w:rsid w:val="001310BC"/>
    <w:rsid w:val="00131F9F"/>
    <w:rsid w:val="001345E3"/>
    <w:rsid w:val="00136112"/>
    <w:rsid w:val="00136DBB"/>
    <w:rsid w:val="00136FCD"/>
    <w:rsid w:val="0014666F"/>
    <w:rsid w:val="00146B57"/>
    <w:rsid w:val="00147419"/>
    <w:rsid w:val="00150A84"/>
    <w:rsid w:val="001511EC"/>
    <w:rsid w:val="0015125C"/>
    <w:rsid w:val="001554F0"/>
    <w:rsid w:val="001563E0"/>
    <w:rsid w:val="001563E4"/>
    <w:rsid w:val="00156415"/>
    <w:rsid w:val="00156813"/>
    <w:rsid w:val="00156B0C"/>
    <w:rsid w:val="00157C95"/>
    <w:rsid w:val="001616D4"/>
    <w:rsid w:val="001631D6"/>
    <w:rsid w:val="00163213"/>
    <w:rsid w:val="001638F5"/>
    <w:rsid w:val="00166E5B"/>
    <w:rsid w:val="0016734F"/>
    <w:rsid w:val="00167687"/>
    <w:rsid w:val="00170696"/>
    <w:rsid w:val="0017195E"/>
    <w:rsid w:val="00175413"/>
    <w:rsid w:val="001755F4"/>
    <w:rsid w:val="00176321"/>
    <w:rsid w:val="001771EE"/>
    <w:rsid w:val="00177BE2"/>
    <w:rsid w:val="001801FC"/>
    <w:rsid w:val="00180344"/>
    <w:rsid w:val="001815C2"/>
    <w:rsid w:val="00181CA2"/>
    <w:rsid w:val="00181D1E"/>
    <w:rsid w:val="0018229B"/>
    <w:rsid w:val="00182F05"/>
    <w:rsid w:val="00185771"/>
    <w:rsid w:val="00185D7B"/>
    <w:rsid w:val="00187D07"/>
    <w:rsid w:val="00193CF2"/>
    <w:rsid w:val="00194E25"/>
    <w:rsid w:val="0019538C"/>
    <w:rsid w:val="00195A0C"/>
    <w:rsid w:val="00195B3B"/>
    <w:rsid w:val="001A0384"/>
    <w:rsid w:val="001A0ABA"/>
    <w:rsid w:val="001A1FE0"/>
    <w:rsid w:val="001A24A2"/>
    <w:rsid w:val="001A39C2"/>
    <w:rsid w:val="001A436B"/>
    <w:rsid w:val="001B451F"/>
    <w:rsid w:val="001B5305"/>
    <w:rsid w:val="001B5EF9"/>
    <w:rsid w:val="001B64DE"/>
    <w:rsid w:val="001B73DF"/>
    <w:rsid w:val="001C1268"/>
    <w:rsid w:val="001C237B"/>
    <w:rsid w:val="001C3872"/>
    <w:rsid w:val="001C4B3D"/>
    <w:rsid w:val="001D0D3D"/>
    <w:rsid w:val="001D15BC"/>
    <w:rsid w:val="001D2110"/>
    <w:rsid w:val="001D2FCF"/>
    <w:rsid w:val="001D5A73"/>
    <w:rsid w:val="001D61EB"/>
    <w:rsid w:val="001D714E"/>
    <w:rsid w:val="001D750D"/>
    <w:rsid w:val="001D77DA"/>
    <w:rsid w:val="001D7DCD"/>
    <w:rsid w:val="001E082C"/>
    <w:rsid w:val="001E0D4B"/>
    <w:rsid w:val="001E36A3"/>
    <w:rsid w:val="001E3FBD"/>
    <w:rsid w:val="001E4B37"/>
    <w:rsid w:val="001E63BB"/>
    <w:rsid w:val="001F122F"/>
    <w:rsid w:val="001F1767"/>
    <w:rsid w:val="001F3DD8"/>
    <w:rsid w:val="001F4B63"/>
    <w:rsid w:val="001F4C3B"/>
    <w:rsid w:val="001F4C60"/>
    <w:rsid w:val="001F696E"/>
    <w:rsid w:val="001F7730"/>
    <w:rsid w:val="00206717"/>
    <w:rsid w:val="00207DA5"/>
    <w:rsid w:val="00211486"/>
    <w:rsid w:val="002127F9"/>
    <w:rsid w:val="002140CB"/>
    <w:rsid w:val="002140DD"/>
    <w:rsid w:val="002147C3"/>
    <w:rsid w:val="00214F50"/>
    <w:rsid w:val="00226056"/>
    <w:rsid w:val="00226B0F"/>
    <w:rsid w:val="002306D9"/>
    <w:rsid w:val="00231D92"/>
    <w:rsid w:val="00234096"/>
    <w:rsid w:val="00234C0D"/>
    <w:rsid w:val="002355E3"/>
    <w:rsid w:val="00236AAC"/>
    <w:rsid w:val="0023742F"/>
    <w:rsid w:val="00240EC5"/>
    <w:rsid w:val="00243794"/>
    <w:rsid w:val="002478F5"/>
    <w:rsid w:val="00247FC3"/>
    <w:rsid w:val="002525EA"/>
    <w:rsid w:val="00252FD1"/>
    <w:rsid w:val="0025396C"/>
    <w:rsid w:val="00254B98"/>
    <w:rsid w:val="00256F47"/>
    <w:rsid w:val="00260B38"/>
    <w:rsid w:val="0026234B"/>
    <w:rsid w:val="002647FE"/>
    <w:rsid w:val="002655B0"/>
    <w:rsid w:val="002658FC"/>
    <w:rsid w:val="002678DD"/>
    <w:rsid w:val="002733FE"/>
    <w:rsid w:val="002735E9"/>
    <w:rsid w:val="00275B4D"/>
    <w:rsid w:val="00277CB9"/>
    <w:rsid w:val="002801F8"/>
    <w:rsid w:val="0028219E"/>
    <w:rsid w:val="002821BF"/>
    <w:rsid w:val="002840BC"/>
    <w:rsid w:val="00286158"/>
    <w:rsid w:val="0028631B"/>
    <w:rsid w:val="00287CF5"/>
    <w:rsid w:val="00290B2A"/>
    <w:rsid w:val="002917AB"/>
    <w:rsid w:val="0029267D"/>
    <w:rsid w:val="002939E0"/>
    <w:rsid w:val="00294B55"/>
    <w:rsid w:val="0029506F"/>
    <w:rsid w:val="00296697"/>
    <w:rsid w:val="002972EB"/>
    <w:rsid w:val="00297820"/>
    <w:rsid w:val="002A097B"/>
    <w:rsid w:val="002A125F"/>
    <w:rsid w:val="002A693C"/>
    <w:rsid w:val="002B0E41"/>
    <w:rsid w:val="002C110B"/>
    <w:rsid w:val="002C1C75"/>
    <w:rsid w:val="002C23DC"/>
    <w:rsid w:val="002C283E"/>
    <w:rsid w:val="002C4A9E"/>
    <w:rsid w:val="002C76C2"/>
    <w:rsid w:val="002D0879"/>
    <w:rsid w:val="002D1EE4"/>
    <w:rsid w:val="002D5FCC"/>
    <w:rsid w:val="002D6863"/>
    <w:rsid w:val="002D7B1E"/>
    <w:rsid w:val="002E1CB2"/>
    <w:rsid w:val="002E36F0"/>
    <w:rsid w:val="002E463F"/>
    <w:rsid w:val="002E5645"/>
    <w:rsid w:val="002F318C"/>
    <w:rsid w:val="002F3924"/>
    <w:rsid w:val="002F4AC3"/>
    <w:rsid w:val="002F4BC5"/>
    <w:rsid w:val="002F6AEA"/>
    <w:rsid w:val="002F6CB2"/>
    <w:rsid w:val="002F7070"/>
    <w:rsid w:val="002F7ADF"/>
    <w:rsid w:val="00300326"/>
    <w:rsid w:val="003017FF"/>
    <w:rsid w:val="00303B7A"/>
    <w:rsid w:val="00307032"/>
    <w:rsid w:val="00307AEE"/>
    <w:rsid w:val="00312F53"/>
    <w:rsid w:val="0031356C"/>
    <w:rsid w:val="003135A0"/>
    <w:rsid w:val="0031434C"/>
    <w:rsid w:val="00316E67"/>
    <w:rsid w:val="003179F0"/>
    <w:rsid w:val="00320E91"/>
    <w:rsid w:val="003214A4"/>
    <w:rsid w:val="00323321"/>
    <w:rsid w:val="00325BAA"/>
    <w:rsid w:val="0032658E"/>
    <w:rsid w:val="00326AF2"/>
    <w:rsid w:val="00330BC1"/>
    <w:rsid w:val="00330ED0"/>
    <w:rsid w:val="00331630"/>
    <w:rsid w:val="00337B89"/>
    <w:rsid w:val="00340EF2"/>
    <w:rsid w:val="00343E0A"/>
    <w:rsid w:val="003467FA"/>
    <w:rsid w:val="00347384"/>
    <w:rsid w:val="003473E2"/>
    <w:rsid w:val="00347A12"/>
    <w:rsid w:val="003510BF"/>
    <w:rsid w:val="0036257F"/>
    <w:rsid w:val="00364579"/>
    <w:rsid w:val="00364B0B"/>
    <w:rsid w:val="00367108"/>
    <w:rsid w:val="003671D8"/>
    <w:rsid w:val="0037036F"/>
    <w:rsid w:val="0037057A"/>
    <w:rsid w:val="00371D3C"/>
    <w:rsid w:val="00372E60"/>
    <w:rsid w:val="003742A7"/>
    <w:rsid w:val="00374A24"/>
    <w:rsid w:val="00375198"/>
    <w:rsid w:val="0037588C"/>
    <w:rsid w:val="00375C08"/>
    <w:rsid w:val="00383683"/>
    <w:rsid w:val="0038398D"/>
    <w:rsid w:val="0038516E"/>
    <w:rsid w:val="003914CD"/>
    <w:rsid w:val="003943F6"/>
    <w:rsid w:val="00394470"/>
    <w:rsid w:val="0039654A"/>
    <w:rsid w:val="003A6799"/>
    <w:rsid w:val="003A7851"/>
    <w:rsid w:val="003B1197"/>
    <w:rsid w:val="003B29CB"/>
    <w:rsid w:val="003B4FC5"/>
    <w:rsid w:val="003B50FE"/>
    <w:rsid w:val="003C24E1"/>
    <w:rsid w:val="003C2562"/>
    <w:rsid w:val="003C2818"/>
    <w:rsid w:val="003C2F1D"/>
    <w:rsid w:val="003C64BC"/>
    <w:rsid w:val="003D0B1F"/>
    <w:rsid w:val="003D30C2"/>
    <w:rsid w:val="003D3654"/>
    <w:rsid w:val="003D37B5"/>
    <w:rsid w:val="003D45A7"/>
    <w:rsid w:val="003D5517"/>
    <w:rsid w:val="003D5CCB"/>
    <w:rsid w:val="003D6BC6"/>
    <w:rsid w:val="003D73E1"/>
    <w:rsid w:val="003E06A9"/>
    <w:rsid w:val="003E0E65"/>
    <w:rsid w:val="003E21E7"/>
    <w:rsid w:val="003E3902"/>
    <w:rsid w:val="003E39CF"/>
    <w:rsid w:val="003E3ADC"/>
    <w:rsid w:val="003E47B8"/>
    <w:rsid w:val="003E7C80"/>
    <w:rsid w:val="003F0EC9"/>
    <w:rsid w:val="003F0F3B"/>
    <w:rsid w:val="003F4245"/>
    <w:rsid w:val="003F4C44"/>
    <w:rsid w:val="003F53D8"/>
    <w:rsid w:val="003F6396"/>
    <w:rsid w:val="00402B67"/>
    <w:rsid w:val="00404062"/>
    <w:rsid w:val="00405596"/>
    <w:rsid w:val="004058C5"/>
    <w:rsid w:val="00406E1C"/>
    <w:rsid w:val="00407C00"/>
    <w:rsid w:val="00410B66"/>
    <w:rsid w:val="00411E2D"/>
    <w:rsid w:val="00412EBA"/>
    <w:rsid w:val="00413414"/>
    <w:rsid w:val="0041357F"/>
    <w:rsid w:val="004209BC"/>
    <w:rsid w:val="00420AB0"/>
    <w:rsid w:val="00420B9F"/>
    <w:rsid w:val="004212E9"/>
    <w:rsid w:val="0042161C"/>
    <w:rsid w:val="004232F3"/>
    <w:rsid w:val="00425489"/>
    <w:rsid w:val="00425966"/>
    <w:rsid w:val="00425E0E"/>
    <w:rsid w:val="004320C3"/>
    <w:rsid w:val="00433621"/>
    <w:rsid w:val="004359B0"/>
    <w:rsid w:val="004369D9"/>
    <w:rsid w:val="00436CED"/>
    <w:rsid w:val="00437683"/>
    <w:rsid w:val="004400D8"/>
    <w:rsid w:val="00440DCA"/>
    <w:rsid w:val="004412C2"/>
    <w:rsid w:val="004419D6"/>
    <w:rsid w:val="00441F5B"/>
    <w:rsid w:val="00442907"/>
    <w:rsid w:val="00443DD4"/>
    <w:rsid w:val="004446FE"/>
    <w:rsid w:val="00444743"/>
    <w:rsid w:val="00444C23"/>
    <w:rsid w:val="00445EB7"/>
    <w:rsid w:val="00446B4A"/>
    <w:rsid w:val="004472FB"/>
    <w:rsid w:val="00447CEF"/>
    <w:rsid w:val="00450206"/>
    <w:rsid w:val="00450764"/>
    <w:rsid w:val="00450B15"/>
    <w:rsid w:val="0045253E"/>
    <w:rsid w:val="0045262A"/>
    <w:rsid w:val="0045512B"/>
    <w:rsid w:val="00457379"/>
    <w:rsid w:val="00460735"/>
    <w:rsid w:val="00460CB8"/>
    <w:rsid w:val="00462DC8"/>
    <w:rsid w:val="004631FE"/>
    <w:rsid w:val="00463821"/>
    <w:rsid w:val="00466546"/>
    <w:rsid w:val="00466D1C"/>
    <w:rsid w:val="00467E65"/>
    <w:rsid w:val="004707A5"/>
    <w:rsid w:val="004714DC"/>
    <w:rsid w:val="00472858"/>
    <w:rsid w:val="0047324E"/>
    <w:rsid w:val="00475AF6"/>
    <w:rsid w:val="00475DA2"/>
    <w:rsid w:val="00476422"/>
    <w:rsid w:val="00477004"/>
    <w:rsid w:val="00480055"/>
    <w:rsid w:val="004812FC"/>
    <w:rsid w:val="00484E8E"/>
    <w:rsid w:val="00486383"/>
    <w:rsid w:val="0048795A"/>
    <w:rsid w:val="00491F3F"/>
    <w:rsid w:val="00493FBF"/>
    <w:rsid w:val="0049414E"/>
    <w:rsid w:val="00494E16"/>
    <w:rsid w:val="004973D5"/>
    <w:rsid w:val="004A0119"/>
    <w:rsid w:val="004A0864"/>
    <w:rsid w:val="004A0BE2"/>
    <w:rsid w:val="004A5A2E"/>
    <w:rsid w:val="004A6B96"/>
    <w:rsid w:val="004B0DDD"/>
    <w:rsid w:val="004B20F8"/>
    <w:rsid w:val="004B23CB"/>
    <w:rsid w:val="004B28D6"/>
    <w:rsid w:val="004B2A9C"/>
    <w:rsid w:val="004B2AAE"/>
    <w:rsid w:val="004B60DD"/>
    <w:rsid w:val="004B7E72"/>
    <w:rsid w:val="004C0900"/>
    <w:rsid w:val="004C1C0A"/>
    <w:rsid w:val="004C1E17"/>
    <w:rsid w:val="004C3A55"/>
    <w:rsid w:val="004C4082"/>
    <w:rsid w:val="004C41AB"/>
    <w:rsid w:val="004C5C3C"/>
    <w:rsid w:val="004C7B80"/>
    <w:rsid w:val="004D35C0"/>
    <w:rsid w:val="004D4214"/>
    <w:rsid w:val="004D57AE"/>
    <w:rsid w:val="004D723C"/>
    <w:rsid w:val="004E0DA0"/>
    <w:rsid w:val="004E0FF5"/>
    <w:rsid w:val="004E2A63"/>
    <w:rsid w:val="004E2AE2"/>
    <w:rsid w:val="004E423A"/>
    <w:rsid w:val="004E564D"/>
    <w:rsid w:val="004E5C55"/>
    <w:rsid w:val="004E649D"/>
    <w:rsid w:val="004E6F1A"/>
    <w:rsid w:val="004F122B"/>
    <w:rsid w:val="004F1AAE"/>
    <w:rsid w:val="004F3AF1"/>
    <w:rsid w:val="004F45B8"/>
    <w:rsid w:val="004F45C5"/>
    <w:rsid w:val="004F48E9"/>
    <w:rsid w:val="004F4E33"/>
    <w:rsid w:val="004F5AF1"/>
    <w:rsid w:val="004F5FB7"/>
    <w:rsid w:val="004F6B36"/>
    <w:rsid w:val="004F75BD"/>
    <w:rsid w:val="005001CB"/>
    <w:rsid w:val="00501350"/>
    <w:rsid w:val="005101FC"/>
    <w:rsid w:val="00511DAD"/>
    <w:rsid w:val="005124F4"/>
    <w:rsid w:val="0051441B"/>
    <w:rsid w:val="00520566"/>
    <w:rsid w:val="00520BF1"/>
    <w:rsid w:val="00521CCC"/>
    <w:rsid w:val="00522B11"/>
    <w:rsid w:val="00522CC3"/>
    <w:rsid w:val="005243FD"/>
    <w:rsid w:val="005272DD"/>
    <w:rsid w:val="00527743"/>
    <w:rsid w:val="0053017F"/>
    <w:rsid w:val="00531F58"/>
    <w:rsid w:val="0053435A"/>
    <w:rsid w:val="00535C53"/>
    <w:rsid w:val="00541B63"/>
    <w:rsid w:val="00542F35"/>
    <w:rsid w:val="005432BF"/>
    <w:rsid w:val="005449C2"/>
    <w:rsid w:val="00544F5A"/>
    <w:rsid w:val="00545F5D"/>
    <w:rsid w:val="00546E6E"/>
    <w:rsid w:val="00547739"/>
    <w:rsid w:val="00553DCE"/>
    <w:rsid w:val="00560453"/>
    <w:rsid w:val="00560FA9"/>
    <w:rsid w:val="0056299F"/>
    <w:rsid w:val="00562B16"/>
    <w:rsid w:val="005636DC"/>
    <w:rsid w:val="0056433A"/>
    <w:rsid w:val="0056596A"/>
    <w:rsid w:val="005700C6"/>
    <w:rsid w:val="00570A13"/>
    <w:rsid w:val="0057248F"/>
    <w:rsid w:val="00572CE6"/>
    <w:rsid w:val="00572E8F"/>
    <w:rsid w:val="00573A56"/>
    <w:rsid w:val="00573CB1"/>
    <w:rsid w:val="00580049"/>
    <w:rsid w:val="005804C8"/>
    <w:rsid w:val="00585D51"/>
    <w:rsid w:val="005870EA"/>
    <w:rsid w:val="0058783D"/>
    <w:rsid w:val="00587CA2"/>
    <w:rsid w:val="00590276"/>
    <w:rsid w:val="00591776"/>
    <w:rsid w:val="00592F42"/>
    <w:rsid w:val="00594633"/>
    <w:rsid w:val="00595751"/>
    <w:rsid w:val="00596BE7"/>
    <w:rsid w:val="005A0F71"/>
    <w:rsid w:val="005A1C4F"/>
    <w:rsid w:val="005A6809"/>
    <w:rsid w:val="005B2B67"/>
    <w:rsid w:val="005B471E"/>
    <w:rsid w:val="005B4DF5"/>
    <w:rsid w:val="005B538A"/>
    <w:rsid w:val="005B7209"/>
    <w:rsid w:val="005B7EB6"/>
    <w:rsid w:val="005C0422"/>
    <w:rsid w:val="005C058F"/>
    <w:rsid w:val="005C2142"/>
    <w:rsid w:val="005C2B70"/>
    <w:rsid w:val="005C4ECD"/>
    <w:rsid w:val="005D098B"/>
    <w:rsid w:val="005D10F6"/>
    <w:rsid w:val="005D374E"/>
    <w:rsid w:val="005E0CBD"/>
    <w:rsid w:val="005E0D96"/>
    <w:rsid w:val="005E1040"/>
    <w:rsid w:val="005E364D"/>
    <w:rsid w:val="005E3B69"/>
    <w:rsid w:val="005E4660"/>
    <w:rsid w:val="005E54FF"/>
    <w:rsid w:val="005E7B8B"/>
    <w:rsid w:val="005F1E8E"/>
    <w:rsid w:val="005F367E"/>
    <w:rsid w:val="005F4C99"/>
    <w:rsid w:val="005F5262"/>
    <w:rsid w:val="005F5424"/>
    <w:rsid w:val="005F6C77"/>
    <w:rsid w:val="005F71DD"/>
    <w:rsid w:val="0060239C"/>
    <w:rsid w:val="006024C2"/>
    <w:rsid w:val="006038C0"/>
    <w:rsid w:val="00604842"/>
    <w:rsid w:val="00606DFC"/>
    <w:rsid w:val="00607A70"/>
    <w:rsid w:val="00610328"/>
    <w:rsid w:val="006122C6"/>
    <w:rsid w:val="00616C61"/>
    <w:rsid w:val="00616CD4"/>
    <w:rsid w:val="00617A5E"/>
    <w:rsid w:val="006231F9"/>
    <w:rsid w:val="006249F1"/>
    <w:rsid w:val="0062696A"/>
    <w:rsid w:val="00631341"/>
    <w:rsid w:val="00632B53"/>
    <w:rsid w:val="0063352B"/>
    <w:rsid w:val="006341AD"/>
    <w:rsid w:val="00634BE3"/>
    <w:rsid w:val="0063784C"/>
    <w:rsid w:val="00641E0D"/>
    <w:rsid w:val="00643C42"/>
    <w:rsid w:val="00645109"/>
    <w:rsid w:val="00646561"/>
    <w:rsid w:val="006506DA"/>
    <w:rsid w:val="00656340"/>
    <w:rsid w:val="006576E5"/>
    <w:rsid w:val="006628EC"/>
    <w:rsid w:val="006638C0"/>
    <w:rsid w:val="006639D3"/>
    <w:rsid w:val="0066429B"/>
    <w:rsid w:val="006655D1"/>
    <w:rsid w:val="0066598B"/>
    <w:rsid w:val="00666568"/>
    <w:rsid w:val="006701B2"/>
    <w:rsid w:val="006763B3"/>
    <w:rsid w:val="006764BE"/>
    <w:rsid w:val="006777A5"/>
    <w:rsid w:val="006778F0"/>
    <w:rsid w:val="00681484"/>
    <w:rsid w:val="006843BA"/>
    <w:rsid w:val="0068448A"/>
    <w:rsid w:val="006869DB"/>
    <w:rsid w:val="00686AD2"/>
    <w:rsid w:val="00686C24"/>
    <w:rsid w:val="006912E0"/>
    <w:rsid w:val="00692C3A"/>
    <w:rsid w:val="0069541F"/>
    <w:rsid w:val="00695529"/>
    <w:rsid w:val="006A0695"/>
    <w:rsid w:val="006A0E0B"/>
    <w:rsid w:val="006A280C"/>
    <w:rsid w:val="006A400B"/>
    <w:rsid w:val="006A5138"/>
    <w:rsid w:val="006A71C0"/>
    <w:rsid w:val="006B28C1"/>
    <w:rsid w:val="006B4144"/>
    <w:rsid w:val="006B50EA"/>
    <w:rsid w:val="006B710E"/>
    <w:rsid w:val="006B735B"/>
    <w:rsid w:val="006B7AB6"/>
    <w:rsid w:val="006C098D"/>
    <w:rsid w:val="006C0F7C"/>
    <w:rsid w:val="006C3AC0"/>
    <w:rsid w:val="006C4804"/>
    <w:rsid w:val="006C4F77"/>
    <w:rsid w:val="006C6ED5"/>
    <w:rsid w:val="006C7302"/>
    <w:rsid w:val="006D1E6F"/>
    <w:rsid w:val="006D622A"/>
    <w:rsid w:val="006E0C31"/>
    <w:rsid w:val="006E10BE"/>
    <w:rsid w:val="006E12CE"/>
    <w:rsid w:val="006E296D"/>
    <w:rsid w:val="006E40A6"/>
    <w:rsid w:val="006E4B7B"/>
    <w:rsid w:val="006E51C5"/>
    <w:rsid w:val="006E5738"/>
    <w:rsid w:val="006E5768"/>
    <w:rsid w:val="006E5B73"/>
    <w:rsid w:val="006E6EC5"/>
    <w:rsid w:val="006F0081"/>
    <w:rsid w:val="006F2F80"/>
    <w:rsid w:val="006F3DAB"/>
    <w:rsid w:val="006F4D89"/>
    <w:rsid w:val="006F79BB"/>
    <w:rsid w:val="006F7EA4"/>
    <w:rsid w:val="007043EB"/>
    <w:rsid w:val="00704571"/>
    <w:rsid w:val="00704977"/>
    <w:rsid w:val="00704B05"/>
    <w:rsid w:val="00704D6F"/>
    <w:rsid w:val="0070612D"/>
    <w:rsid w:val="00707127"/>
    <w:rsid w:val="00710B4F"/>
    <w:rsid w:val="007127C2"/>
    <w:rsid w:val="00712A5F"/>
    <w:rsid w:val="0071498D"/>
    <w:rsid w:val="00716804"/>
    <w:rsid w:val="0072086C"/>
    <w:rsid w:val="00720AEF"/>
    <w:rsid w:val="00721861"/>
    <w:rsid w:val="00722534"/>
    <w:rsid w:val="007235F9"/>
    <w:rsid w:val="007240A6"/>
    <w:rsid w:val="007241BF"/>
    <w:rsid w:val="00724B68"/>
    <w:rsid w:val="00726E38"/>
    <w:rsid w:val="0073076F"/>
    <w:rsid w:val="007328CC"/>
    <w:rsid w:val="00735761"/>
    <w:rsid w:val="00735AC6"/>
    <w:rsid w:val="00735B39"/>
    <w:rsid w:val="00735C0F"/>
    <w:rsid w:val="00735EE9"/>
    <w:rsid w:val="00737397"/>
    <w:rsid w:val="007410AF"/>
    <w:rsid w:val="0074120E"/>
    <w:rsid w:val="00741A71"/>
    <w:rsid w:val="0074201B"/>
    <w:rsid w:val="007471A1"/>
    <w:rsid w:val="00750503"/>
    <w:rsid w:val="0075154C"/>
    <w:rsid w:val="007545FF"/>
    <w:rsid w:val="007571A6"/>
    <w:rsid w:val="00757C06"/>
    <w:rsid w:val="007602F1"/>
    <w:rsid w:val="00760462"/>
    <w:rsid w:val="0076053C"/>
    <w:rsid w:val="00762997"/>
    <w:rsid w:val="00762E41"/>
    <w:rsid w:val="007639CB"/>
    <w:rsid w:val="00763DAE"/>
    <w:rsid w:val="007661B5"/>
    <w:rsid w:val="00770AA4"/>
    <w:rsid w:val="00771331"/>
    <w:rsid w:val="00771E2C"/>
    <w:rsid w:val="007739CB"/>
    <w:rsid w:val="00777D72"/>
    <w:rsid w:val="00781C86"/>
    <w:rsid w:val="007837D9"/>
    <w:rsid w:val="00783CCD"/>
    <w:rsid w:val="0079079C"/>
    <w:rsid w:val="00791864"/>
    <w:rsid w:val="00791F58"/>
    <w:rsid w:val="00794E35"/>
    <w:rsid w:val="007A4AE4"/>
    <w:rsid w:val="007A5688"/>
    <w:rsid w:val="007A577A"/>
    <w:rsid w:val="007B28FE"/>
    <w:rsid w:val="007B2F01"/>
    <w:rsid w:val="007B32CF"/>
    <w:rsid w:val="007B5322"/>
    <w:rsid w:val="007B5679"/>
    <w:rsid w:val="007B6F47"/>
    <w:rsid w:val="007B73A5"/>
    <w:rsid w:val="007C06F3"/>
    <w:rsid w:val="007C1DD4"/>
    <w:rsid w:val="007C2B44"/>
    <w:rsid w:val="007C34BB"/>
    <w:rsid w:val="007C36DF"/>
    <w:rsid w:val="007C3A13"/>
    <w:rsid w:val="007C69A3"/>
    <w:rsid w:val="007C6C5B"/>
    <w:rsid w:val="007C71A5"/>
    <w:rsid w:val="007D4A54"/>
    <w:rsid w:val="007D56AB"/>
    <w:rsid w:val="007D592B"/>
    <w:rsid w:val="007E10C0"/>
    <w:rsid w:val="007E1794"/>
    <w:rsid w:val="007E4A7B"/>
    <w:rsid w:val="007E4B31"/>
    <w:rsid w:val="007E6A9C"/>
    <w:rsid w:val="007E729D"/>
    <w:rsid w:val="007E76CC"/>
    <w:rsid w:val="007F0EFB"/>
    <w:rsid w:val="007F1711"/>
    <w:rsid w:val="007F22CC"/>
    <w:rsid w:val="007F2347"/>
    <w:rsid w:val="007F4451"/>
    <w:rsid w:val="007F4CE6"/>
    <w:rsid w:val="007F5FE7"/>
    <w:rsid w:val="008004E6"/>
    <w:rsid w:val="00801A5F"/>
    <w:rsid w:val="00803934"/>
    <w:rsid w:val="0080756E"/>
    <w:rsid w:val="00807B10"/>
    <w:rsid w:val="0081057B"/>
    <w:rsid w:val="008105FC"/>
    <w:rsid w:val="0081086B"/>
    <w:rsid w:val="0081453F"/>
    <w:rsid w:val="0081631C"/>
    <w:rsid w:val="008207A2"/>
    <w:rsid w:val="008207F1"/>
    <w:rsid w:val="008219CA"/>
    <w:rsid w:val="00822DD1"/>
    <w:rsid w:val="00822DDE"/>
    <w:rsid w:val="00822F5D"/>
    <w:rsid w:val="00822F88"/>
    <w:rsid w:val="008244C7"/>
    <w:rsid w:val="0082469F"/>
    <w:rsid w:val="008247F5"/>
    <w:rsid w:val="00825F86"/>
    <w:rsid w:val="008261CB"/>
    <w:rsid w:val="00826C29"/>
    <w:rsid w:val="008277E5"/>
    <w:rsid w:val="00827F66"/>
    <w:rsid w:val="008302BC"/>
    <w:rsid w:val="00831EAA"/>
    <w:rsid w:val="00832039"/>
    <w:rsid w:val="008320CC"/>
    <w:rsid w:val="00833674"/>
    <w:rsid w:val="00834E73"/>
    <w:rsid w:val="00837843"/>
    <w:rsid w:val="00842440"/>
    <w:rsid w:val="00842BFE"/>
    <w:rsid w:val="00842D58"/>
    <w:rsid w:val="008445AD"/>
    <w:rsid w:val="00846C1A"/>
    <w:rsid w:val="00846D18"/>
    <w:rsid w:val="008473BD"/>
    <w:rsid w:val="008475DA"/>
    <w:rsid w:val="00850334"/>
    <w:rsid w:val="00851A43"/>
    <w:rsid w:val="00851B89"/>
    <w:rsid w:val="00851CEF"/>
    <w:rsid w:val="008525FB"/>
    <w:rsid w:val="00854515"/>
    <w:rsid w:val="00854770"/>
    <w:rsid w:val="008550FB"/>
    <w:rsid w:val="0085588E"/>
    <w:rsid w:val="00856AF7"/>
    <w:rsid w:val="00857DDA"/>
    <w:rsid w:val="00860038"/>
    <w:rsid w:val="00862C6D"/>
    <w:rsid w:val="00863A72"/>
    <w:rsid w:val="00864912"/>
    <w:rsid w:val="00864D34"/>
    <w:rsid w:val="00866743"/>
    <w:rsid w:val="0086746B"/>
    <w:rsid w:val="00867C1F"/>
    <w:rsid w:val="00874602"/>
    <w:rsid w:val="00874B46"/>
    <w:rsid w:val="008777A8"/>
    <w:rsid w:val="008823EF"/>
    <w:rsid w:val="008825FC"/>
    <w:rsid w:val="00897E7E"/>
    <w:rsid w:val="008A13E4"/>
    <w:rsid w:val="008A1D28"/>
    <w:rsid w:val="008A4ECC"/>
    <w:rsid w:val="008A5746"/>
    <w:rsid w:val="008A5C22"/>
    <w:rsid w:val="008B2356"/>
    <w:rsid w:val="008B446A"/>
    <w:rsid w:val="008B797D"/>
    <w:rsid w:val="008C0A46"/>
    <w:rsid w:val="008C0ECA"/>
    <w:rsid w:val="008C27B9"/>
    <w:rsid w:val="008C2EE7"/>
    <w:rsid w:val="008C2FD2"/>
    <w:rsid w:val="008C5DAA"/>
    <w:rsid w:val="008C6A99"/>
    <w:rsid w:val="008C6F27"/>
    <w:rsid w:val="008D546C"/>
    <w:rsid w:val="008D6502"/>
    <w:rsid w:val="008D7FCD"/>
    <w:rsid w:val="008E0B8C"/>
    <w:rsid w:val="008E41C3"/>
    <w:rsid w:val="008F2044"/>
    <w:rsid w:val="008F2096"/>
    <w:rsid w:val="008F793B"/>
    <w:rsid w:val="009011DD"/>
    <w:rsid w:val="00901B03"/>
    <w:rsid w:val="00902BD2"/>
    <w:rsid w:val="00903EA6"/>
    <w:rsid w:val="009042DD"/>
    <w:rsid w:val="00904F48"/>
    <w:rsid w:val="009058DA"/>
    <w:rsid w:val="009108BB"/>
    <w:rsid w:val="0091141E"/>
    <w:rsid w:val="00911748"/>
    <w:rsid w:val="009121B9"/>
    <w:rsid w:val="00913BF8"/>
    <w:rsid w:val="009143B0"/>
    <w:rsid w:val="00915FC7"/>
    <w:rsid w:val="009164EF"/>
    <w:rsid w:val="00920B79"/>
    <w:rsid w:val="00923AA1"/>
    <w:rsid w:val="009245A9"/>
    <w:rsid w:val="009257D5"/>
    <w:rsid w:val="00925A99"/>
    <w:rsid w:val="00926D7B"/>
    <w:rsid w:val="009316FA"/>
    <w:rsid w:val="009321AC"/>
    <w:rsid w:val="00932277"/>
    <w:rsid w:val="00932DD9"/>
    <w:rsid w:val="009356BF"/>
    <w:rsid w:val="00935857"/>
    <w:rsid w:val="00937651"/>
    <w:rsid w:val="00940964"/>
    <w:rsid w:val="00944E16"/>
    <w:rsid w:val="00945B87"/>
    <w:rsid w:val="009465AF"/>
    <w:rsid w:val="00946C89"/>
    <w:rsid w:val="00947A2D"/>
    <w:rsid w:val="00950025"/>
    <w:rsid w:val="00951770"/>
    <w:rsid w:val="0095282B"/>
    <w:rsid w:val="00952EAE"/>
    <w:rsid w:val="00953575"/>
    <w:rsid w:val="009536DE"/>
    <w:rsid w:val="00953C2C"/>
    <w:rsid w:val="00955106"/>
    <w:rsid w:val="009610EA"/>
    <w:rsid w:val="00961698"/>
    <w:rsid w:val="0096237B"/>
    <w:rsid w:val="0096249E"/>
    <w:rsid w:val="00964567"/>
    <w:rsid w:val="009720D4"/>
    <w:rsid w:val="009738D3"/>
    <w:rsid w:val="009763AF"/>
    <w:rsid w:val="00983AB6"/>
    <w:rsid w:val="00986107"/>
    <w:rsid w:val="00986C27"/>
    <w:rsid w:val="0098728B"/>
    <w:rsid w:val="00990D0F"/>
    <w:rsid w:val="00990F68"/>
    <w:rsid w:val="00992117"/>
    <w:rsid w:val="00992E2E"/>
    <w:rsid w:val="00995D4B"/>
    <w:rsid w:val="009A384E"/>
    <w:rsid w:val="009A4537"/>
    <w:rsid w:val="009B0E00"/>
    <w:rsid w:val="009B2C6D"/>
    <w:rsid w:val="009B3F0A"/>
    <w:rsid w:val="009B63F8"/>
    <w:rsid w:val="009B7F02"/>
    <w:rsid w:val="009C1B6B"/>
    <w:rsid w:val="009C4015"/>
    <w:rsid w:val="009D015A"/>
    <w:rsid w:val="009D05EE"/>
    <w:rsid w:val="009D4763"/>
    <w:rsid w:val="009D7DFD"/>
    <w:rsid w:val="009E02B3"/>
    <w:rsid w:val="009E457D"/>
    <w:rsid w:val="009E7A9C"/>
    <w:rsid w:val="009E7D75"/>
    <w:rsid w:val="009F06FF"/>
    <w:rsid w:val="009F0A82"/>
    <w:rsid w:val="009F2231"/>
    <w:rsid w:val="009F3218"/>
    <w:rsid w:val="009F37E5"/>
    <w:rsid w:val="009F38DB"/>
    <w:rsid w:val="009F6558"/>
    <w:rsid w:val="009F7729"/>
    <w:rsid w:val="00A0079A"/>
    <w:rsid w:val="00A00E7D"/>
    <w:rsid w:val="00A04A43"/>
    <w:rsid w:val="00A059DE"/>
    <w:rsid w:val="00A07866"/>
    <w:rsid w:val="00A100B6"/>
    <w:rsid w:val="00A12D9F"/>
    <w:rsid w:val="00A13596"/>
    <w:rsid w:val="00A143C5"/>
    <w:rsid w:val="00A1560E"/>
    <w:rsid w:val="00A16B93"/>
    <w:rsid w:val="00A2174A"/>
    <w:rsid w:val="00A24B05"/>
    <w:rsid w:val="00A32AA2"/>
    <w:rsid w:val="00A3364C"/>
    <w:rsid w:val="00A33E06"/>
    <w:rsid w:val="00A40BAE"/>
    <w:rsid w:val="00A41CF6"/>
    <w:rsid w:val="00A43446"/>
    <w:rsid w:val="00A4383A"/>
    <w:rsid w:val="00A43E78"/>
    <w:rsid w:val="00A4705D"/>
    <w:rsid w:val="00A5026D"/>
    <w:rsid w:val="00A50275"/>
    <w:rsid w:val="00A53222"/>
    <w:rsid w:val="00A53B57"/>
    <w:rsid w:val="00A54800"/>
    <w:rsid w:val="00A54DA5"/>
    <w:rsid w:val="00A606AA"/>
    <w:rsid w:val="00A60BA3"/>
    <w:rsid w:val="00A61410"/>
    <w:rsid w:val="00A61735"/>
    <w:rsid w:val="00A621D7"/>
    <w:rsid w:val="00A6726A"/>
    <w:rsid w:val="00A67B37"/>
    <w:rsid w:val="00A71382"/>
    <w:rsid w:val="00A72B8D"/>
    <w:rsid w:val="00A73544"/>
    <w:rsid w:val="00A73D3E"/>
    <w:rsid w:val="00A74374"/>
    <w:rsid w:val="00A750D9"/>
    <w:rsid w:val="00A75626"/>
    <w:rsid w:val="00A773E6"/>
    <w:rsid w:val="00A812AB"/>
    <w:rsid w:val="00A81583"/>
    <w:rsid w:val="00A81F01"/>
    <w:rsid w:val="00A836B9"/>
    <w:rsid w:val="00A86436"/>
    <w:rsid w:val="00A86C05"/>
    <w:rsid w:val="00A9065E"/>
    <w:rsid w:val="00A9072E"/>
    <w:rsid w:val="00A91442"/>
    <w:rsid w:val="00A923C8"/>
    <w:rsid w:val="00A9386E"/>
    <w:rsid w:val="00A95B63"/>
    <w:rsid w:val="00A96CF4"/>
    <w:rsid w:val="00A976D9"/>
    <w:rsid w:val="00A97A37"/>
    <w:rsid w:val="00AA2902"/>
    <w:rsid w:val="00AA3264"/>
    <w:rsid w:val="00AA3B19"/>
    <w:rsid w:val="00AA3C02"/>
    <w:rsid w:val="00AA4D15"/>
    <w:rsid w:val="00AA7102"/>
    <w:rsid w:val="00AB069C"/>
    <w:rsid w:val="00AB0A43"/>
    <w:rsid w:val="00AB255A"/>
    <w:rsid w:val="00AB3545"/>
    <w:rsid w:val="00AB3E71"/>
    <w:rsid w:val="00AB3ED6"/>
    <w:rsid w:val="00AB4969"/>
    <w:rsid w:val="00AB56A9"/>
    <w:rsid w:val="00AB6C24"/>
    <w:rsid w:val="00AB6F19"/>
    <w:rsid w:val="00AB7011"/>
    <w:rsid w:val="00AC080D"/>
    <w:rsid w:val="00AC112C"/>
    <w:rsid w:val="00AC2E64"/>
    <w:rsid w:val="00AC3845"/>
    <w:rsid w:val="00AC53BB"/>
    <w:rsid w:val="00AC6D70"/>
    <w:rsid w:val="00AD5A4E"/>
    <w:rsid w:val="00AD6D95"/>
    <w:rsid w:val="00AD7109"/>
    <w:rsid w:val="00AE36BB"/>
    <w:rsid w:val="00AE5F15"/>
    <w:rsid w:val="00AF0052"/>
    <w:rsid w:val="00AF0A80"/>
    <w:rsid w:val="00AF2243"/>
    <w:rsid w:val="00AF2299"/>
    <w:rsid w:val="00AF2618"/>
    <w:rsid w:val="00AF29D8"/>
    <w:rsid w:val="00AF29FE"/>
    <w:rsid w:val="00AF2DCB"/>
    <w:rsid w:val="00AF2F8D"/>
    <w:rsid w:val="00AF4FC1"/>
    <w:rsid w:val="00AF7D55"/>
    <w:rsid w:val="00B01866"/>
    <w:rsid w:val="00B03F8B"/>
    <w:rsid w:val="00B041FE"/>
    <w:rsid w:val="00B05B1D"/>
    <w:rsid w:val="00B05FF9"/>
    <w:rsid w:val="00B06025"/>
    <w:rsid w:val="00B07FF0"/>
    <w:rsid w:val="00B1073F"/>
    <w:rsid w:val="00B15779"/>
    <w:rsid w:val="00B16F4C"/>
    <w:rsid w:val="00B200B9"/>
    <w:rsid w:val="00B2409D"/>
    <w:rsid w:val="00B252F4"/>
    <w:rsid w:val="00B25EA3"/>
    <w:rsid w:val="00B26941"/>
    <w:rsid w:val="00B26AA5"/>
    <w:rsid w:val="00B314CA"/>
    <w:rsid w:val="00B31551"/>
    <w:rsid w:val="00B34550"/>
    <w:rsid w:val="00B346B7"/>
    <w:rsid w:val="00B35CD8"/>
    <w:rsid w:val="00B40B92"/>
    <w:rsid w:val="00B4164B"/>
    <w:rsid w:val="00B429CC"/>
    <w:rsid w:val="00B44AF2"/>
    <w:rsid w:val="00B458A7"/>
    <w:rsid w:val="00B51EE2"/>
    <w:rsid w:val="00B52174"/>
    <w:rsid w:val="00B5303F"/>
    <w:rsid w:val="00B53627"/>
    <w:rsid w:val="00B55049"/>
    <w:rsid w:val="00B60029"/>
    <w:rsid w:val="00B60AD4"/>
    <w:rsid w:val="00B63D09"/>
    <w:rsid w:val="00B64D11"/>
    <w:rsid w:val="00B65436"/>
    <w:rsid w:val="00B65802"/>
    <w:rsid w:val="00B6684A"/>
    <w:rsid w:val="00B67146"/>
    <w:rsid w:val="00B676D8"/>
    <w:rsid w:val="00B70CE3"/>
    <w:rsid w:val="00B72868"/>
    <w:rsid w:val="00B72AD3"/>
    <w:rsid w:val="00B746DF"/>
    <w:rsid w:val="00B74935"/>
    <w:rsid w:val="00B76164"/>
    <w:rsid w:val="00B76628"/>
    <w:rsid w:val="00B77991"/>
    <w:rsid w:val="00B77CDF"/>
    <w:rsid w:val="00B80774"/>
    <w:rsid w:val="00B832B8"/>
    <w:rsid w:val="00B83894"/>
    <w:rsid w:val="00B84D25"/>
    <w:rsid w:val="00B84FC6"/>
    <w:rsid w:val="00B900D4"/>
    <w:rsid w:val="00B9146B"/>
    <w:rsid w:val="00B91700"/>
    <w:rsid w:val="00B91845"/>
    <w:rsid w:val="00B9208F"/>
    <w:rsid w:val="00B94176"/>
    <w:rsid w:val="00B96220"/>
    <w:rsid w:val="00B97DD8"/>
    <w:rsid w:val="00B97E8F"/>
    <w:rsid w:val="00BA1186"/>
    <w:rsid w:val="00BA198F"/>
    <w:rsid w:val="00BA3EE6"/>
    <w:rsid w:val="00BA3FA6"/>
    <w:rsid w:val="00BA4CA1"/>
    <w:rsid w:val="00BA50D0"/>
    <w:rsid w:val="00BA67BC"/>
    <w:rsid w:val="00BB2B30"/>
    <w:rsid w:val="00BB3155"/>
    <w:rsid w:val="00BB43C0"/>
    <w:rsid w:val="00BB67A9"/>
    <w:rsid w:val="00BB711E"/>
    <w:rsid w:val="00BB76FC"/>
    <w:rsid w:val="00BC2344"/>
    <w:rsid w:val="00BC2EAC"/>
    <w:rsid w:val="00BC2F9B"/>
    <w:rsid w:val="00BC3196"/>
    <w:rsid w:val="00BC4107"/>
    <w:rsid w:val="00BD0F83"/>
    <w:rsid w:val="00BD1EA3"/>
    <w:rsid w:val="00BD29A8"/>
    <w:rsid w:val="00BD428D"/>
    <w:rsid w:val="00BD4321"/>
    <w:rsid w:val="00BD50E4"/>
    <w:rsid w:val="00BD52F6"/>
    <w:rsid w:val="00BD684B"/>
    <w:rsid w:val="00BD76B4"/>
    <w:rsid w:val="00BE3377"/>
    <w:rsid w:val="00BE3EC6"/>
    <w:rsid w:val="00BE4023"/>
    <w:rsid w:val="00BE4265"/>
    <w:rsid w:val="00BE5C2B"/>
    <w:rsid w:val="00BE6512"/>
    <w:rsid w:val="00BE688C"/>
    <w:rsid w:val="00BE6DD7"/>
    <w:rsid w:val="00BF076C"/>
    <w:rsid w:val="00BF0A46"/>
    <w:rsid w:val="00BF2866"/>
    <w:rsid w:val="00BF3CAE"/>
    <w:rsid w:val="00C02E0D"/>
    <w:rsid w:val="00C10ADC"/>
    <w:rsid w:val="00C11FAA"/>
    <w:rsid w:val="00C12E0A"/>
    <w:rsid w:val="00C136D4"/>
    <w:rsid w:val="00C1412C"/>
    <w:rsid w:val="00C14A26"/>
    <w:rsid w:val="00C14E90"/>
    <w:rsid w:val="00C16F5F"/>
    <w:rsid w:val="00C21130"/>
    <w:rsid w:val="00C21DB3"/>
    <w:rsid w:val="00C26949"/>
    <w:rsid w:val="00C27980"/>
    <w:rsid w:val="00C34813"/>
    <w:rsid w:val="00C41620"/>
    <w:rsid w:val="00C42405"/>
    <w:rsid w:val="00C44378"/>
    <w:rsid w:val="00C44F10"/>
    <w:rsid w:val="00C45B00"/>
    <w:rsid w:val="00C4723A"/>
    <w:rsid w:val="00C505DB"/>
    <w:rsid w:val="00C520E1"/>
    <w:rsid w:val="00C550AF"/>
    <w:rsid w:val="00C5574B"/>
    <w:rsid w:val="00C55C0E"/>
    <w:rsid w:val="00C560C7"/>
    <w:rsid w:val="00C564C2"/>
    <w:rsid w:val="00C57621"/>
    <w:rsid w:val="00C6042E"/>
    <w:rsid w:val="00C6163A"/>
    <w:rsid w:val="00C6166D"/>
    <w:rsid w:val="00C62184"/>
    <w:rsid w:val="00C62749"/>
    <w:rsid w:val="00C65146"/>
    <w:rsid w:val="00C66A7D"/>
    <w:rsid w:val="00C66C21"/>
    <w:rsid w:val="00C66DD0"/>
    <w:rsid w:val="00C66E42"/>
    <w:rsid w:val="00C6790F"/>
    <w:rsid w:val="00C715AA"/>
    <w:rsid w:val="00C71730"/>
    <w:rsid w:val="00C71C1F"/>
    <w:rsid w:val="00C71D0A"/>
    <w:rsid w:val="00C72AC2"/>
    <w:rsid w:val="00C73B05"/>
    <w:rsid w:val="00C73FFB"/>
    <w:rsid w:val="00C747AC"/>
    <w:rsid w:val="00C7583B"/>
    <w:rsid w:val="00C76377"/>
    <w:rsid w:val="00C8143D"/>
    <w:rsid w:val="00C817B3"/>
    <w:rsid w:val="00C81B4F"/>
    <w:rsid w:val="00C823BA"/>
    <w:rsid w:val="00C83A46"/>
    <w:rsid w:val="00C85148"/>
    <w:rsid w:val="00C85B40"/>
    <w:rsid w:val="00C85B47"/>
    <w:rsid w:val="00C87B0A"/>
    <w:rsid w:val="00C96369"/>
    <w:rsid w:val="00C96DB5"/>
    <w:rsid w:val="00C97193"/>
    <w:rsid w:val="00C97C7F"/>
    <w:rsid w:val="00CA349D"/>
    <w:rsid w:val="00CA35AA"/>
    <w:rsid w:val="00CA54A5"/>
    <w:rsid w:val="00CA5B0A"/>
    <w:rsid w:val="00CA5CAD"/>
    <w:rsid w:val="00CA610D"/>
    <w:rsid w:val="00CA7B8A"/>
    <w:rsid w:val="00CB0D9D"/>
    <w:rsid w:val="00CB1108"/>
    <w:rsid w:val="00CB202F"/>
    <w:rsid w:val="00CB3A47"/>
    <w:rsid w:val="00CB4FCF"/>
    <w:rsid w:val="00CB6669"/>
    <w:rsid w:val="00CB6F5E"/>
    <w:rsid w:val="00CC0B72"/>
    <w:rsid w:val="00CC281A"/>
    <w:rsid w:val="00CC3AB8"/>
    <w:rsid w:val="00CC4856"/>
    <w:rsid w:val="00CC4C58"/>
    <w:rsid w:val="00CC5693"/>
    <w:rsid w:val="00CC71A8"/>
    <w:rsid w:val="00CC7998"/>
    <w:rsid w:val="00CC7BD2"/>
    <w:rsid w:val="00CE2932"/>
    <w:rsid w:val="00CE2C52"/>
    <w:rsid w:val="00CE2CAB"/>
    <w:rsid w:val="00CE308F"/>
    <w:rsid w:val="00CE316A"/>
    <w:rsid w:val="00CE3D70"/>
    <w:rsid w:val="00CE718E"/>
    <w:rsid w:val="00CE7BEB"/>
    <w:rsid w:val="00CF0236"/>
    <w:rsid w:val="00CF055C"/>
    <w:rsid w:val="00CF1E05"/>
    <w:rsid w:val="00CF2316"/>
    <w:rsid w:val="00CF282C"/>
    <w:rsid w:val="00CF2A6E"/>
    <w:rsid w:val="00CF31EB"/>
    <w:rsid w:val="00CF42F7"/>
    <w:rsid w:val="00CF548C"/>
    <w:rsid w:val="00CF5F70"/>
    <w:rsid w:val="00CF712B"/>
    <w:rsid w:val="00D02588"/>
    <w:rsid w:val="00D03967"/>
    <w:rsid w:val="00D06CDD"/>
    <w:rsid w:val="00D072C3"/>
    <w:rsid w:val="00D117F5"/>
    <w:rsid w:val="00D11C32"/>
    <w:rsid w:val="00D1610B"/>
    <w:rsid w:val="00D16800"/>
    <w:rsid w:val="00D1690B"/>
    <w:rsid w:val="00D17828"/>
    <w:rsid w:val="00D23E79"/>
    <w:rsid w:val="00D2427B"/>
    <w:rsid w:val="00D25243"/>
    <w:rsid w:val="00D2610E"/>
    <w:rsid w:val="00D26E4F"/>
    <w:rsid w:val="00D333F6"/>
    <w:rsid w:val="00D33B1C"/>
    <w:rsid w:val="00D33E70"/>
    <w:rsid w:val="00D340D5"/>
    <w:rsid w:val="00D34C34"/>
    <w:rsid w:val="00D35DDB"/>
    <w:rsid w:val="00D369FC"/>
    <w:rsid w:val="00D41B04"/>
    <w:rsid w:val="00D44526"/>
    <w:rsid w:val="00D45B0D"/>
    <w:rsid w:val="00D464B1"/>
    <w:rsid w:val="00D47AF4"/>
    <w:rsid w:val="00D5161F"/>
    <w:rsid w:val="00D51E22"/>
    <w:rsid w:val="00D52C9C"/>
    <w:rsid w:val="00D531F8"/>
    <w:rsid w:val="00D547D9"/>
    <w:rsid w:val="00D55893"/>
    <w:rsid w:val="00D55C73"/>
    <w:rsid w:val="00D561F0"/>
    <w:rsid w:val="00D562EB"/>
    <w:rsid w:val="00D566F8"/>
    <w:rsid w:val="00D56BCF"/>
    <w:rsid w:val="00D603DF"/>
    <w:rsid w:val="00D607B0"/>
    <w:rsid w:val="00D6096C"/>
    <w:rsid w:val="00D61895"/>
    <w:rsid w:val="00D63072"/>
    <w:rsid w:val="00D6630F"/>
    <w:rsid w:val="00D663EC"/>
    <w:rsid w:val="00D66BB4"/>
    <w:rsid w:val="00D6711D"/>
    <w:rsid w:val="00D70C63"/>
    <w:rsid w:val="00D72DA2"/>
    <w:rsid w:val="00D73A63"/>
    <w:rsid w:val="00D7420F"/>
    <w:rsid w:val="00D753A5"/>
    <w:rsid w:val="00D80ABB"/>
    <w:rsid w:val="00D80BBF"/>
    <w:rsid w:val="00D81805"/>
    <w:rsid w:val="00D82808"/>
    <w:rsid w:val="00D828C1"/>
    <w:rsid w:val="00D857B8"/>
    <w:rsid w:val="00D860ED"/>
    <w:rsid w:val="00D87C50"/>
    <w:rsid w:val="00D93168"/>
    <w:rsid w:val="00D94606"/>
    <w:rsid w:val="00D97839"/>
    <w:rsid w:val="00D97C44"/>
    <w:rsid w:val="00DA09AA"/>
    <w:rsid w:val="00DA0D4D"/>
    <w:rsid w:val="00DA1891"/>
    <w:rsid w:val="00DA224C"/>
    <w:rsid w:val="00DA61AB"/>
    <w:rsid w:val="00DA76B4"/>
    <w:rsid w:val="00DA76CF"/>
    <w:rsid w:val="00DA79F9"/>
    <w:rsid w:val="00DA7A51"/>
    <w:rsid w:val="00DB0D74"/>
    <w:rsid w:val="00DB2739"/>
    <w:rsid w:val="00DB3E1F"/>
    <w:rsid w:val="00DB58B1"/>
    <w:rsid w:val="00DB64CA"/>
    <w:rsid w:val="00DB7456"/>
    <w:rsid w:val="00DB7699"/>
    <w:rsid w:val="00DC0873"/>
    <w:rsid w:val="00DC0C08"/>
    <w:rsid w:val="00DC157B"/>
    <w:rsid w:val="00DC2148"/>
    <w:rsid w:val="00DC2C36"/>
    <w:rsid w:val="00DC41A2"/>
    <w:rsid w:val="00DD0184"/>
    <w:rsid w:val="00DD08C2"/>
    <w:rsid w:val="00DD1441"/>
    <w:rsid w:val="00DD3650"/>
    <w:rsid w:val="00DD5735"/>
    <w:rsid w:val="00DD5837"/>
    <w:rsid w:val="00DD6403"/>
    <w:rsid w:val="00DE164A"/>
    <w:rsid w:val="00DE5483"/>
    <w:rsid w:val="00DE5FDB"/>
    <w:rsid w:val="00DE639D"/>
    <w:rsid w:val="00DE6C50"/>
    <w:rsid w:val="00DE6D84"/>
    <w:rsid w:val="00DF0F4A"/>
    <w:rsid w:val="00DF32E4"/>
    <w:rsid w:val="00DF33D6"/>
    <w:rsid w:val="00DF3CCC"/>
    <w:rsid w:val="00DF5D6C"/>
    <w:rsid w:val="00DF746A"/>
    <w:rsid w:val="00E0029B"/>
    <w:rsid w:val="00E00F5F"/>
    <w:rsid w:val="00E03D1A"/>
    <w:rsid w:val="00E0403C"/>
    <w:rsid w:val="00E04DD8"/>
    <w:rsid w:val="00E05CC3"/>
    <w:rsid w:val="00E05D01"/>
    <w:rsid w:val="00E06167"/>
    <w:rsid w:val="00E078ED"/>
    <w:rsid w:val="00E07A73"/>
    <w:rsid w:val="00E1058C"/>
    <w:rsid w:val="00E10D2C"/>
    <w:rsid w:val="00E12D9F"/>
    <w:rsid w:val="00E12E17"/>
    <w:rsid w:val="00E14C3F"/>
    <w:rsid w:val="00E177B2"/>
    <w:rsid w:val="00E2229A"/>
    <w:rsid w:val="00E222CA"/>
    <w:rsid w:val="00E229BA"/>
    <w:rsid w:val="00E27F30"/>
    <w:rsid w:val="00E30F2A"/>
    <w:rsid w:val="00E3116A"/>
    <w:rsid w:val="00E32B3F"/>
    <w:rsid w:val="00E32D8B"/>
    <w:rsid w:val="00E32EDD"/>
    <w:rsid w:val="00E3381A"/>
    <w:rsid w:val="00E33DA6"/>
    <w:rsid w:val="00E340B6"/>
    <w:rsid w:val="00E34227"/>
    <w:rsid w:val="00E3506F"/>
    <w:rsid w:val="00E355A0"/>
    <w:rsid w:val="00E36FAC"/>
    <w:rsid w:val="00E37BFB"/>
    <w:rsid w:val="00E40088"/>
    <w:rsid w:val="00E41238"/>
    <w:rsid w:val="00E4180D"/>
    <w:rsid w:val="00E438F7"/>
    <w:rsid w:val="00E4393E"/>
    <w:rsid w:val="00E46F04"/>
    <w:rsid w:val="00E4782C"/>
    <w:rsid w:val="00E51CED"/>
    <w:rsid w:val="00E55176"/>
    <w:rsid w:val="00E5551A"/>
    <w:rsid w:val="00E56912"/>
    <w:rsid w:val="00E601FD"/>
    <w:rsid w:val="00E60949"/>
    <w:rsid w:val="00E62CB6"/>
    <w:rsid w:val="00E630F3"/>
    <w:rsid w:val="00E6328E"/>
    <w:rsid w:val="00E634F7"/>
    <w:rsid w:val="00E63736"/>
    <w:rsid w:val="00E66406"/>
    <w:rsid w:val="00E719C1"/>
    <w:rsid w:val="00E72764"/>
    <w:rsid w:val="00E73878"/>
    <w:rsid w:val="00E74550"/>
    <w:rsid w:val="00E749B8"/>
    <w:rsid w:val="00E765DF"/>
    <w:rsid w:val="00E77FBC"/>
    <w:rsid w:val="00E831AD"/>
    <w:rsid w:val="00E869B1"/>
    <w:rsid w:val="00E8799A"/>
    <w:rsid w:val="00E9087C"/>
    <w:rsid w:val="00E941B1"/>
    <w:rsid w:val="00E94515"/>
    <w:rsid w:val="00EA377A"/>
    <w:rsid w:val="00EA40B2"/>
    <w:rsid w:val="00EA7B90"/>
    <w:rsid w:val="00EB05D0"/>
    <w:rsid w:val="00EB3CC9"/>
    <w:rsid w:val="00EB59DB"/>
    <w:rsid w:val="00EB7DD0"/>
    <w:rsid w:val="00EC145A"/>
    <w:rsid w:val="00EC1C3D"/>
    <w:rsid w:val="00EC1D76"/>
    <w:rsid w:val="00EC3B8C"/>
    <w:rsid w:val="00EC55FE"/>
    <w:rsid w:val="00EC6147"/>
    <w:rsid w:val="00ED000F"/>
    <w:rsid w:val="00ED2013"/>
    <w:rsid w:val="00ED34A4"/>
    <w:rsid w:val="00ED4205"/>
    <w:rsid w:val="00ED7A6D"/>
    <w:rsid w:val="00EE5049"/>
    <w:rsid w:val="00EE6841"/>
    <w:rsid w:val="00EE6A75"/>
    <w:rsid w:val="00EE7AED"/>
    <w:rsid w:val="00EF0186"/>
    <w:rsid w:val="00EF18F7"/>
    <w:rsid w:val="00EF1C07"/>
    <w:rsid w:val="00EF5796"/>
    <w:rsid w:val="00EF582A"/>
    <w:rsid w:val="00EF5E69"/>
    <w:rsid w:val="00EF69F0"/>
    <w:rsid w:val="00EF7994"/>
    <w:rsid w:val="00F0313A"/>
    <w:rsid w:val="00F06518"/>
    <w:rsid w:val="00F107FC"/>
    <w:rsid w:val="00F10994"/>
    <w:rsid w:val="00F160E6"/>
    <w:rsid w:val="00F17138"/>
    <w:rsid w:val="00F1772C"/>
    <w:rsid w:val="00F2241C"/>
    <w:rsid w:val="00F22BD9"/>
    <w:rsid w:val="00F32CEB"/>
    <w:rsid w:val="00F33EF2"/>
    <w:rsid w:val="00F34DDD"/>
    <w:rsid w:val="00F370A9"/>
    <w:rsid w:val="00F37ECA"/>
    <w:rsid w:val="00F41027"/>
    <w:rsid w:val="00F47C63"/>
    <w:rsid w:val="00F50707"/>
    <w:rsid w:val="00F50FBD"/>
    <w:rsid w:val="00F51179"/>
    <w:rsid w:val="00F522EB"/>
    <w:rsid w:val="00F5280E"/>
    <w:rsid w:val="00F53AA2"/>
    <w:rsid w:val="00F53D77"/>
    <w:rsid w:val="00F555C3"/>
    <w:rsid w:val="00F55771"/>
    <w:rsid w:val="00F56DD2"/>
    <w:rsid w:val="00F61B5D"/>
    <w:rsid w:val="00F6256E"/>
    <w:rsid w:val="00F66FB7"/>
    <w:rsid w:val="00F67EEA"/>
    <w:rsid w:val="00F714EF"/>
    <w:rsid w:val="00F72BF2"/>
    <w:rsid w:val="00F73813"/>
    <w:rsid w:val="00F747F1"/>
    <w:rsid w:val="00F76657"/>
    <w:rsid w:val="00F77FCC"/>
    <w:rsid w:val="00F81861"/>
    <w:rsid w:val="00F8203C"/>
    <w:rsid w:val="00F83E1E"/>
    <w:rsid w:val="00F858D0"/>
    <w:rsid w:val="00F86E1B"/>
    <w:rsid w:val="00F925D6"/>
    <w:rsid w:val="00F92B9B"/>
    <w:rsid w:val="00F93038"/>
    <w:rsid w:val="00F934E3"/>
    <w:rsid w:val="00F93F35"/>
    <w:rsid w:val="00F9573E"/>
    <w:rsid w:val="00F95F96"/>
    <w:rsid w:val="00F96554"/>
    <w:rsid w:val="00F977EB"/>
    <w:rsid w:val="00FA0A62"/>
    <w:rsid w:val="00FA2BC7"/>
    <w:rsid w:val="00FA63E7"/>
    <w:rsid w:val="00FA6B41"/>
    <w:rsid w:val="00FB04E8"/>
    <w:rsid w:val="00FB0A2D"/>
    <w:rsid w:val="00FB153E"/>
    <w:rsid w:val="00FB1E87"/>
    <w:rsid w:val="00FB2432"/>
    <w:rsid w:val="00FB38C9"/>
    <w:rsid w:val="00FB6B95"/>
    <w:rsid w:val="00FB6BA6"/>
    <w:rsid w:val="00FB7158"/>
    <w:rsid w:val="00FC0030"/>
    <w:rsid w:val="00FC0713"/>
    <w:rsid w:val="00FC0777"/>
    <w:rsid w:val="00FC0A11"/>
    <w:rsid w:val="00FC0A5F"/>
    <w:rsid w:val="00FC15B8"/>
    <w:rsid w:val="00FC1A8A"/>
    <w:rsid w:val="00FC1DB6"/>
    <w:rsid w:val="00FC20B0"/>
    <w:rsid w:val="00FC36F3"/>
    <w:rsid w:val="00FC3F8A"/>
    <w:rsid w:val="00FC4FEC"/>
    <w:rsid w:val="00FC56C1"/>
    <w:rsid w:val="00FC5741"/>
    <w:rsid w:val="00FD0FBD"/>
    <w:rsid w:val="00FD2864"/>
    <w:rsid w:val="00FD345B"/>
    <w:rsid w:val="00FD601C"/>
    <w:rsid w:val="00FE1F11"/>
    <w:rsid w:val="00FE3B77"/>
    <w:rsid w:val="00FE5186"/>
    <w:rsid w:val="00FE5C01"/>
    <w:rsid w:val="00FE694F"/>
    <w:rsid w:val="00FF22CC"/>
    <w:rsid w:val="00FF25D1"/>
    <w:rsid w:val="00FF30CD"/>
    <w:rsid w:val="00FF5469"/>
    <w:rsid w:val="00FF54DF"/>
    <w:rsid w:val="00FF5909"/>
    <w:rsid w:val="00FF6933"/>
    <w:rsid w:val="00FF746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513EE"/>
  <w15:docId w15:val="{0DDDDB1A-CCC4-4E3E-BCAB-AA5F37EC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800"/>
    <w:rPr>
      <w:rFonts w:ascii="Times New Roman" w:eastAsia="Times New Roman" w:hAnsi="Times New Roman"/>
      <w:sz w:val="24"/>
      <w:szCs w:val="24"/>
    </w:rPr>
  </w:style>
  <w:style w:type="paragraph" w:styleId="Titre1">
    <w:name w:val="heading 1"/>
    <w:basedOn w:val="Normal"/>
    <w:next w:val="Normal"/>
    <w:link w:val="Titre1Car"/>
    <w:uiPriority w:val="99"/>
    <w:qFormat/>
    <w:rsid w:val="00D16800"/>
    <w:pPr>
      <w:keepNext/>
      <w:numPr>
        <w:numId w:val="1"/>
      </w:numPr>
      <w:shd w:val="clear" w:color="auto" w:fill="FFFFFF"/>
      <w:spacing w:before="480" w:after="120"/>
      <w:outlineLvl w:val="0"/>
    </w:pPr>
    <w:rPr>
      <w:rFonts w:ascii="AvantGarde Md BT" w:hAnsi="AvantGarde Md BT"/>
      <w:color w:val="008080"/>
      <w:sz w:val="36"/>
      <w:szCs w:val="36"/>
    </w:rPr>
  </w:style>
  <w:style w:type="paragraph" w:styleId="Titre2">
    <w:name w:val="heading 2"/>
    <w:basedOn w:val="Normal"/>
    <w:next w:val="Normal"/>
    <w:link w:val="Titre2Car"/>
    <w:uiPriority w:val="99"/>
    <w:qFormat/>
    <w:rsid w:val="00D16800"/>
    <w:pPr>
      <w:keepNext/>
      <w:numPr>
        <w:ilvl w:val="1"/>
        <w:numId w:val="1"/>
      </w:numPr>
      <w:spacing w:before="200" w:after="60"/>
      <w:jc w:val="both"/>
      <w:outlineLvl w:val="1"/>
    </w:pPr>
    <w:rPr>
      <w:rFonts w:ascii="AvantGarde Md BT" w:hAnsi="AvantGarde Md BT"/>
      <w:color w:val="008000"/>
      <w:sz w:val="32"/>
      <w:szCs w:val="32"/>
    </w:rPr>
  </w:style>
  <w:style w:type="paragraph" w:styleId="Titre3">
    <w:name w:val="heading 3"/>
    <w:basedOn w:val="Normal"/>
    <w:next w:val="Normal"/>
    <w:link w:val="Titre3Car"/>
    <w:uiPriority w:val="99"/>
    <w:qFormat/>
    <w:rsid w:val="00D16800"/>
    <w:pPr>
      <w:keepNext/>
      <w:numPr>
        <w:ilvl w:val="2"/>
        <w:numId w:val="1"/>
      </w:numPr>
      <w:tabs>
        <w:tab w:val="right" w:leader="dot" w:pos="9072"/>
      </w:tabs>
      <w:spacing w:before="360"/>
      <w:outlineLvl w:val="2"/>
    </w:pPr>
    <w:rPr>
      <w:rFonts w:ascii="AvantGarde Md BT" w:hAnsi="AvantGarde Md BT"/>
    </w:rPr>
  </w:style>
  <w:style w:type="paragraph" w:styleId="Titre4">
    <w:name w:val="heading 4"/>
    <w:basedOn w:val="Normal"/>
    <w:next w:val="Normal"/>
    <w:link w:val="Titre4Car"/>
    <w:qFormat/>
    <w:rsid w:val="00D16800"/>
    <w:pPr>
      <w:keepNext/>
      <w:numPr>
        <w:ilvl w:val="3"/>
        <w:numId w:val="1"/>
      </w:numPr>
      <w:tabs>
        <w:tab w:val="right" w:leader="dot" w:pos="9072"/>
      </w:tabs>
      <w:spacing w:before="100"/>
      <w:outlineLvl w:val="3"/>
    </w:pPr>
    <w:rPr>
      <w:rFonts w:ascii="Tiffany Lt BT" w:hAnsi="Tiffany Lt BT"/>
      <w:b/>
      <w:bCs/>
      <w:i/>
      <w:iCs/>
      <w:sz w:val="20"/>
      <w:szCs w:val="20"/>
    </w:rPr>
  </w:style>
  <w:style w:type="paragraph" w:styleId="Titre6">
    <w:name w:val="heading 6"/>
    <w:basedOn w:val="Normal"/>
    <w:next w:val="Normal"/>
    <w:link w:val="Titre6Car"/>
    <w:qFormat/>
    <w:rsid w:val="00D16800"/>
    <w:pPr>
      <w:numPr>
        <w:ilvl w:val="5"/>
        <w:numId w:val="1"/>
      </w:numPr>
      <w:spacing w:before="100" w:after="60"/>
      <w:jc w:val="both"/>
      <w:outlineLvl w:val="5"/>
    </w:pPr>
    <w:rPr>
      <w:rFonts w:ascii="Arial" w:hAnsi="Arial"/>
      <w:i/>
      <w:iCs/>
      <w:sz w:val="20"/>
      <w:szCs w:val="20"/>
    </w:rPr>
  </w:style>
  <w:style w:type="paragraph" w:styleId="Titre7">
    <w:name w:val="heading 7"/>
    <w:basedOn w:val="Normal"/>
    <w:next w:val="Normal"/>
    <w:link w:val="Titre7Car"/>
    <w:qFormat/>
    <w:rsid w:val="00D16800"/>
    <w:pPr>
      <w:numPr>
        <w:ilvl w:val="6"/>
        <w:numId w:val="1"/>
      </w:numPr>
      <w:spacing w:before="100" w:after="60"/>
      <w:jc w:val="both"/>
      <w:outlineLvl w:val="6"/>
    </w:pPr>
    <w:rPr>
      <w:rFonts w:ascii="Arial" w:hAnsi="Arial"/>
      <w:sz w:val="20"/>
      <w:szCs w:val="20"/>
    </w:rPr>
  </w:style>
  <w:style w:type="paragraph" w:styleId="Titre8">
    <w:name w:val="heading 8"/>
    <w:basedOn w:val="Normal"/>
    <w:next w:val="Normal"/>
    <w:link w:val="Titre8Car"/>
    <w:qFormat/>
    <w:rsid w:val="00D16800"/>
    <w:pPr>
      <w:numPr>
        <w:ilvl w:val="7"/>
        <w:numId w:val="1"/>
      </w:numPr>
      <w:spacing w:before="100" w:after="60"/>
      <w:jc w:val="both"/>
      <w:outlineLvl w:val="7"/>
    </w:pPr>
    <w:rPr>
      <w:rFonts w:ascii="Arial" w:hAnsi="Arial"/>
      <w:i/>
      <w:iCs/>
      <w:sz w:val="20"/>
      <w:szCs w:val="20"/>
    </w:rPr>
  </w:style>
  <w:style w:type="paragraph" w:styleId="Titre9">
    <w:name w:val="heading 9"/>
    <w:basedOn w:val="Normal"/>
    <w:next w:val="Normal"/>
    <w:link w:val="Titre9Car"/>
    <w:qFormat/>
    <w:rsid w:val="00D16800"/>
    <w:pPr>
      <w:numPr>
        <w:ilvl w:val="8"/>
        <w:numId w:val="1"/>
      </w:numPr>
      <w:spacing w:before="100" w:after="60"/>
      <w:jc w:val="both"/>
      <w:outlineLvl w:val="8"/>
    </w:pPr>
    <w:rPr>
      <w:rFonts w:ascii="Arial" w:hAnsi="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D16800"/>
    <w:rPr>
      <w:rFonts w:ascii="AvantGarde Md BT" w:eastAsia="Times New Roman" w:hAnsi="AvantGarde Md BT"/>
      <w:color w:val="008080"/>
      <w:sz w:val="36"/>
      <w:szCs w:val="36"/>
      <w:shd w:val="clear" w:color="auto" w:fill="FFFFFF"/>
    </w:rPr>
  </w:style>
  <w:style w:type="character" w:customStyle="1" w:styleId="Titre2Car">
    <w:name w:val="Titre 2 Car"/>
    <w:link w:val="Titre2"/>
    <w:uiPriority w:val="99"/>
    <w:rsid w:val="00D16800"/>
    <w:rPr>
      <w:rFonts w:ascii="AvantGarde Md BT" w:eastAsia="Times New Roman" w:hAnsi="AvantGarde Md BT"/>
      <w:color w:val="008000"/>
      <w:sz w:val="32"/>
      <w:szCs w:val="32"/>
    </w:rPr>
  </w:style>
  <w:style w:type="character" w:customStyle="1" w:styleId="Titre3Car">
    <w:name w:val="Titre 3 Car"/>
    <w:link w:val="Titre3"/>
    <w:uiPriority w:val="99"/>
    <w:rsid w:val="00D16800"/>
    <w:rPr>
      <w:rFonts w:ascii="AvantGarde Md BT" w:eastAsia="Times New Roman" w:hAnsi="AvantGarde Md BT"/>
      <w:sz w:val="24"/>
      <w:szCs w:val="24"/>
    </w:rPr>
  </w:style>
  <w:style w:type="character" w:customStyle="1" w:styleId="Titre4Car">
    <w:name w:val="Titre 4 Car"/>
    <w:link w:val="Titre4"/>
    <w:rsid w:val="00D16800"/>
    <w:rPr>
      <w:rFonts w:ascii="Tiffany Lt BT" w:eastAsia="Times New Roman" w:hAnsi="Tiffany Lt BT"/>
      <w:b/>
      <w:bCs/>
      <w:i/>
      <w:iCs/>
    </w:rPr>
  </w:style>
  <w:style w:type="character" w:customStyle="1" w:styleId="Titre6Car">
    <w:name w:val="Titre 6 Car"/>
    <w:link w:val="Titre6"/>
    <w:rsid w:val="00D16800"/>
    <w:rPr>
      <w:rFonts w:ascii="Arial" w:eastAsia="Times New Roman" w:hAnsi="Arial"/>
      <w:i/>
      <w:iCs/>
    </w:rPr>
  </w:style>
  <w:style w:type="character" w:customStyle="1" w:styleId="Titre7Car">
    <w:name w:val="Titre 7 Car"/>
    <w:link w:val="Titre7"/>
    <w:rsid w:val="00D16800"/>
    <w:rPr>
      <w:rFonts w:ascii="Arial" w:eastAsia="Times New Roman" w:hAnsi="Arial"/>
    </w:rPr>
  </w:style>
  <w:style w:type="character" w:customStyle="1" w:styleId="Titre8Car">
    <w:name w:val="Titre 8 Car"/>
    <w:link w:val="Titre8"/>
    <w:rsid w:val="00D16800"/>
    <w:rPr>
      <w:rFonts w:ascii="Arial" w:eastAsia="Times New Roman" w:hAnsi="Arial"/>
      <w:i/>
      <w:iCs/>
    </w:rPr>
  </w:style>
  <w:style w:type="character" w:customStyle="1" w:styleId="Titre9Car">
    <w:name w:val="Titre 9 Car"/>
    <w:link w:val="Titre9"/>
    <w:rsid w:val="00D16800"/>
    <w:rPr>
      <w:rFonts w:ascii="Arial" w:eastAsia="Times New Roman" w:hAnsi="Arial"/>
      <w:i/>
      <w:iCs/>
      <w:sz w:val="18"/>
      <w:szCs w:val="18"/>
    </w:rPr>
  </w:style>
  <w:style w:type="paragraph" w:styleId="En-tte">
    <w:name w:val="header"/>
    <w:aliases w:val="En-tête-LP,heading 3 after h2,h,h3+,ContentsHeader,hd,he,Header 2"/>
    <w:basedOn w:val="Normal"/>
    <w:link w:val="En-tteCar"/>
    <w:rsid w:val="00D16800"/>
    <w:pPr>
      <w:tabs>
        <w:tab w:val="center" w:pos="4536"/>
        <w:tab w:val="right" w:pos="9072"/>
      </w:tabs>
      <w:spacing w:before="100"/>
      <w:jc w:val="both"/>
    </w:pPr>
    <w:rPr>
      <w:sz w:val="20"/>
      <w:szCs w:val="20"/>
    </w:rPr>
  </w:style>
  <w:style w:type="character" w:customStyle="1" w:styleId="En-tteCar">
    <w:name w:val="En-tête Car"/>
    <w:aliases w:val="En-tête-LP Car,heading 3 after h2 Car,h Car,h3+ Car,ContentsHeader Car,hd Car,he Car,Header 2 Car"/>
    <w:link w:val="En-tte"/>
    <w:rsid w:val="00D16800"/>
    <w:rPr>
      <w:rFonts w:ascii="Times New Roman" w:eastAsia="Times New Roman" w:hAnsi="Times New Roman" w:cs="Times New Roman"/>
    </w:rPr>
  </w:style>
  <w:style w:type="paragraph" w:styleId="Paragraphedeliste">
    <w:name w:val="List Paragraph"/>
    <w:basedOn w:val="Normal"/>
    <w:link w:val="ParagraphedelisteCar"/>
    <w:uiPriority w:val="34"/>
    <w:qFormat/>
    <w:rsid w:val="00D16800"/>
    <w:pPr>
      <w:ind w:left="708"/>
    </w:pPr>
  </w:style>
  <w:style w:type="character" w:customStyle="1" w:styleId="ParagraphedelisteCar">
    <w:name w:val="Paragraphe de liste Car"/>
    <w:link w:val="Paragraphedeliste"/>
    <w:uiPriority w:val="34"/>
    <w:locked/>
    <w:rsid w:val="00D16800"/>
    <w:rPr>
      <w:rFonts w:ascii="Times New Roman" w:eastAsia="Times New Roman" w:hAnsi="Times New Roman" w:cs="Times New Roman"/>
      <w:sz w:val="24"/>
      <w:szCs w:val="24"/>
    </w:rPr>
  </w:style>
  <w:style w:type="paragraph" w:styleId="Notedebasdepage">
    <w:name w:val="footnote text"/>
    <w:aliases w:val="Footnote Text Char1,Footnote Text Char Char,Char,Char Char Char,Char Char Char Char,Char Char Char Char Char Char,Footnote Text Char2,Footnote Text Char1 Char,9,Footnote Text Char Char Char1,Footnote Text Char1 Char Char Char1,fn,ADB"/>
    <w:basedOn w:val="Normal"/>
    <w:link w:val="NotedebasdepageCar"/>
    <w:uiPriority w:val="99"/>
    <w:rsid w:val="00D16800"/>
    <w:rPr>
      <w:sz w:val="20"/>
      <w:szCs w:val="20"/>
    </w:rPr>
  </w:style>
  <w:style w:type="character" w:customStyle="1" w:styleId="NotedebasdepageCar">
    <w:name w:val="Note de bas de page Car"/>
    <w:aliases w:val="Footnote Text Char1 Car,Footnote Text Char Char Car,Char Car,Char Char Char Car,Char Char Char Char Car,Char Char Char Char Char Char Car,Footnote Text Char2 Car,Footnote Text Char1 Char Car,9 Car,fn Car,ADB Car"/>
    <w:link w:val="Notedebasdepage"/>
    <w:uiPriority w:val="99"/>
    <w:rsid w:val="00D16800"/>
    <w:rPr>
      <w:rFonts w:ascii="Times New Roman" w:eastAsia="Times New Roman" w:hAnsi="Times New Roman" w:cs="Times New Roman"/>
      <w:sz w:val="20"/>
      <w:szCs w:val="20"/>
      <w:lang w:val="fr-FR" w:eastAsia="fr-FR"/>
    </w:rPr>
  </w:style>
  <w:style w:type="character" w:styleId="Appelnotedebasdep">
    <w:name w:val="footnote reference"/>
    <w:aliases w:val="BVI fnr Car Car1 Car Car,BVI fnr Car Car Car Car1 Car Car,BVI fnr Car Car Car Car Car,BVI fnr Car Car Car Car Car Car Car Car1,BVI fnr Car Car Car Car Char Car Car Car Car Car,BVI fnr Car Car Car Car Char Car Car Car Car,ftref"/>
    <w:link w:val="BVIfnrCarCar1Car"/>
    <w:uiPriority w:val="99"/>
    <w:rsid w:val="00D16800"/>
    <w:rPr>
      <w:vertAlign w:val="superscript"/>
    </w:rPr>
  </w:style>
  <w:style w:type="paragraph" w:customStyle="1" w:styleId="BVIfnrCarCar1Car">
    <w:name w:val="BVI fnr Car Car1 Car"/>
    <w:aliases w:val="BVI fnr Car Car Car Car1 Car,BVI fnr Car Car Car Car,BVI fnr Car Car Car Car Car Car Car,BVI fnr Car Car Car Car Char Car Car Car,BVI fnr Car Car,BVI fnr Car"/>
    <w:basedOn w:val="Normal"/>
    <w:next w:val="Normal"/>
    <w:link w:val="Appelnotedebasdep"/>
    <w:uiPriority w:val="99"/>
    <w:rsid w:val="00D16800"/>
    <w:pPr>
      <w:spacing w:after="160" w:line="240" w:lineRule="exact"/>
    </w:pPr>
    <w:rPr>
      <w:rFonts w:ascii="Calibri" w:eastAsia="Calibri" w:hAnsi="Calibri"/>
      <w:sz w:val="20"/>
      <w:szCs w:val="20"/>
      <w:vertAlign w:val="superscript"/>
    </w:rPr>
  </w:style>
  <w:style w:type="paragraph" w:styleId="Corpsdetexte">
    <w:name w:val="Body Text"/>
    <w:basedOn w:val="Normal"/>
    <w:link w:val="CorpsdetexteCar"/>
    <w:rsid w:val="00D16800"/>
  </w:style>
  <w:style w:type="character" w:customStyle="1" w:styleId="CorpsdetexteCar">
    <w:name w:val="Corps de texte Car"/>
    <w:link w:val="Corpsdetexte"/>
    <w:rsid w:val="00D16800"/>
    <w:rPr>
      <w:rFonts w:ascii="Times New Roman" w:eastAsia="Times New Roman" w:hAnsi="Times New Roman" w:cs="Times New Roman"/>
      <w:sz w:val="24"/>
      <w:szCs w:val="24"/>
    </w:rPr>
  </w:style>
  <w:style w:type="paragraph" w:styleId="Corpsdetexte3">
    <w:name w:val="Body Text 3"/>
    <w:basedOn w:val="Normal"/>
    <w:link w:val="Corpsdetexte3Car"/>
    <w:rsid w:val="00D16800"/>
    <w:pPr>
      <w:jc w:val="both"/>
    </w:pPr>
  </w:style>
  <w:style w:type="character" w:customStyle="1" w:styleId="Corpsdetexte3Car">
    <w:name w:val="Corps de texte 3 Car"/>
    <w:link w:val="Corpsdetexte3"/>
    <w:rsid w:val="00D16800"/>
    <w:rPr>
      <w:rFonts w:ascii="Times New Roman" w:eastAsia="Times New Roman" w:hAnsi="Times New Roman" w:cs="Times New Roman"/>
      <w:sz w:val="24"/>
      <w:szCs w:val="24"/>
    </w:rPr>
  </w:style>
  <w:style w:type="paragraph" w:customStyle="1" w:styleId="Default">
    <w:name w:val="Default"/>
    <w:rsid w:val="00D16800"/>
    <w:pPr>
      <w:autoSpaceDE w:val="0"/>
      <w:autoSpaceDN w:val="0"/>
      <w:adjustRightInd w:val="0"/>
    </w:pPr>
    <w:rPr>
      <w:rFonts w:ascii="Times New Roman" w:hAnsi="Times New Roman"/>
      <w:color w:val="000000"/>
      <w:sz w:val="24"/>
      <w:szCs w:val="24"/>
      <w:lang w:eastAsia="en-US"/>
    </w:rPr>
  </w:style>
  <w:style w:type="character" w:customStyle="1" w:styleId="longtext">
    <w:name w:val="long_text"/>
    <w:uiPriority w:val="99"/>
    <w:rsid w:val="00D16800"/>
    <w:rPr>
      <w:rFonts w:cs="Times New Roman"/>
    </w:rPr>
  </w:style>
  <w:style w:type="paragraph" w:styleId="Textedebulles">
    <w:name w:val="Balloon Text"/>
    <w:basedOn w:val="Normal"/>
    <w:link w:val="TextedebullesCar"/>
    <w:uiPriority w:val="99"/>
    <w:semiHidden/>
    <w:unhideWhenUsed/>
    <w:rsid w:val="00D16800"/>
    <w:rPr>
      <w:rFonts w:ascii="Tahoma" w:hAnsi="Tahoma"/>
      <w:sz w:val="16"/>
      <w:szCs w:val="16"/>
    </w:rPr>
  </w:style>
  <w:style w:type="character" w:customStyle="1" w:styleId="TextedebullesCar">
    <w:name w:val="Texte de bulles Car"/>
    <w:link w:val="Textedebulles"/>
    <w:uiPriority w:val="99"/>
    <w:semiHidden/>
    <w:rsid w:val="00D16800"/>
    <w:rPr>
      <w:rFonts w:ascii="Tahoma" w:eastAsia="Times New Roman" w:hAnsi="Tahoma" w:cs="Tahoma"/>
      <w:sz w:val="16"/>
      <w:szCs w:val="16"/>
      <w:lang w:val="fr-FR" w:eastAsia="fr-FR"/>
    </w:rPr>
  </w:style>
  <w:style w:type="paragraph" w:customStyle="1" w:styleId="IFADparagraphnumbering">
    <w:name w:val="IFAD paragraph numbering"/>
    <w:link w:val="IFADparagraphnumberingChar1"/>
    <w:qFormat/>
    <w:rsid w:val="007E4B31"/>
    <w:pPr>
      <w:numPr>
        <w:numId w:val="2"/>
      </w:numPr>
      <w:spacing w:after="240"/>
      <w:jc w:val="both"/>
    </w:pPr>
    <w:rPr>
      <w:rFonts w:ascii="Times New Roman" w:hAnsi="Times New Roman"/>
      <w:lang w:val="en-GB" w:eastAsia="en-GB"/>
    </w:rPr>
  </w:style>
  <w:style w:type="paragraph" w:customStyle="1" w:styleId="IFADparagraphno2ndlevel">
    <w:name w:val="IFAD paragraph no. 2nd level"/>
    <w:basedOn w:val="IFADparagraphnumbering"/>
    <w:rsid w:val="007E4B31"/>
    <w:pPr>
      <w:numPr>
        <w:ilvl w:val="1"/>
      </w:numPr>
      <w:tabs>
        <w:tab w:val="clear" w:pos="1134"/>
        <w:tab w:val="num" w:pos="360"/>
        <w:tab w:val="num" w:pos="720"/>
        <w:tab w:val="num" w:pos="1440"/>
      </w:tabs>
      <w:ind w:left="1440" w:hanging="360"/>
    </w:pPr>
  </w:style>
  <w:style w:type="paragraph" w:customStyle="1" w:styleId="IFADparagraphno3rdlevel">
    <w:name w:val="IFAD paragraph no. 3rd level"/>
    <w:basedOn w:val="IFADparagraphnumbering"/>
    <w:rsid w:val="007E4B31"/>
    <w:pPr>
      <w:numPr>
        <w:ilvl w:val="2"/>
      </w:numPr>
      <w:tabs>
        <w:tab w:val="clear" w:pos="1418"/>
        <w:tab w:val="num" w:pos="360"/>
        <w:tab w:val="num" w:pos="1080"/>
      </w:tabs>
      <w:ind w:left="1080" w:hanging="1080"/>
    </w:pPr>
  </w:style>
  <w:style w:type="paragraph" w:customStyle="1" w:styleId="IFADparagraphno4thlevel">
    <w:name w:val="IFAD paragraph no. 4th level"/>
    <w:basedOn w:val="IFADparagraphnumbering"/>
    <w:rsid w:val="007E4B31"/>
    <w:pPr>
      <w:numPr>
        <w:ilvl w:val="3"/>
      </w:numPr>
      <w:tabs>
        <w:tab w:val="clear" w:pos="1701"/>
        <w:tab w:val="num" w:pos="360"/>
        <w:tab w:val="num" w:pos="1440"/>
        <w:tab w:val="num" w:pos="2880"/>
      </w:tabs>
      <w:ind w:left="2880" w:hanging="360"/>
    </w:pPr>
  </w:style>
  <w:style w:type="character" w:customStyle="1" w:styleId="IFADparagraphnumberingChar1">
    <w:name w:val="IFAD paragraph numbering Char1"/>
    <w:link w:val="IFADparagraphnumbering"/>
    <w:locked/>
    <w:rsid w:val="007E4B31"/>
    <w:rPr>
      <w:rFonts w:ascii="Times New Roman" w:hAnsi="Times New Roman"/>
      <w:lang w:val="en-GB" w:eastAsia="en-GB"/>
    </w:rPr>
  </w:style>
  <w:style w:type="paragraph" w:customStyle="1" w:styleId="Heading3noTOC">
    <w:name w:val="Heading3_noTOC"/>
    <w:basedOn w:val="Titre3"/>
    <w:next w:val="Corpsdetexte"/>
    <w:rsid w:val="007E4B31"/>
    <w:pPr>
      <w:numPr>
        <w:ilvl w:val="0"/>
        <w:numId w:val="0"/>
      </w:numPr>
      <w:tabs>
        <w:tab w:val="clear" w:pos="9072"/>
      </w:tabs>
      <w:spacing w:before="240" w:after="40" w:line="264" w:lineRule="auto"/>
      <w:ind w:left="1134" w:hanging="567"/>
      <w:outlineLvl w:val="9"/>
    </w:pPr>
    <w:rPr>
      <w:rFonts w:ascii="Arial" w:hAnsi="Arial" w:cs="Arial"/>
      <w:b/>
      <w:sz w:val="22"/>
      <w:szCs w:val="28"/>
      <w:lang w:val="en-CA" w:eastAsia="en-US"/>
    </w:rPr>
  </w:style>
  <w:style w:type="paragraph" w:styleId="Pieddepage">
    <w:name w:val="footer"/>
    <w:basedOn w:val="Normal"/>
    <w:link w:val="PieddepageCar"/>
    <w:uiPriority w:val="99"/>
    <w:unhideWhenUsed/>
    <w:rsid w:val="003467FA"/>
    <w:pPr>
      <w:tabs>
        <w:tab w:val="center" w:pos="4680"/>
        <w:tab w:val="right" w:pos="9360"/>
      </w:tabs>
    </w:pPr>
  </w:style>
  <w:style w:type="character" w:customStyle="1" w:styleId="PieddepageCar">
    <w:name w:val="Pied de page Car"/>
    <w:link w:val="Pieddepage"/>
    <w:uiPriority w:val="99"/>
    <w:rsid w:val="003467FA"/>
    <w:rPr>
      <w:rFonts w:ascii="Times New Roman" w:eastAsia="Times New Roman" w:hAnsi="Times New Roman" w:cs="Times New Roman"/>
      <w:sz w:val="24"/>
      <w:szCs w:val="24"/>
      <w:lang w:val="fr-FR" w:eastAsia="fr-FR"/>
    </w:rPr>
  </w:style>
  <w:style w:type="table" w:styleId="Grilledutableau">
    <w:name w:val="Table Grid"/>
    <w:basedOn w:val="TableauNormal"/>
    <w:uiPriority w:val="59"/>
    <w:rsid w:val="002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52174"/>
    <w:rPr>
      <w:sz w:val="16"/>
      <w:szCs w:val="16"/>
    </w:rPr>
  </w:style>
  <w:style w:type="paragraph" w:styleId="Commentaire">
    <w:name w:val="annotation text"/>
    <w:basedOn w:val="Normal"/>
    <w:link w:val="CommentaireCar"/>
    <w:uiPriority w:val="99"/>
    <w:semiHidden/>
    <w:unhideWhenUsed/>
    <w:rsid w:val="00B52174"/>
    <w:rPr>
      <w:sz w:val="20"/>
      <w:szCs w:val="20"/>
    </w:rPr>
  </w:style>
  <w:style w:type="character" w:customStyle="1" w:styleId="CommentaireCar">
    <w:name w:val="Commentaire Car"/>
    <w:link w:val="Commentaire"/>
    <w:uiPriority w:val="99"/>
    <w:semiHidden/>
    <w:rsid w:val="00B52174"/>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B52174"/>
    <w:rPr>
      <w:b/>
      <w:bCs/>
    </w:rPr>
  </w:style>
  <w:style w:type="character" w:customStyle="1" w:styleId="ObjetducommentaireCar">
    <w:name w:val="Objet du commentaire Car"/>
    <w:link w:val="Objetducommentaire"/>
    <w:uiPriority w:val="99"/>
    <w:semiHidden/>
    <w:rsid w:val="00B52174"/>
    <w:rPr>
      <w:rFonts w:ascii="Times New Roman" w:eastAsia="Times New Roman" w:hAnsi="Times New Roman" w:cs="Times New Roman"/>
      <w:b/>
      <w:bCs/>
      <w:sz w:val="20"/>
      <w:szCs w:val="20"/>
      <w:lang w:val="fr-FR" w:eastAsia="fr-FR"/>
    </w:rPr>
  </w:style>
  <w:style w:type="paragraph" w:styleId="Corpsdetexte2">
    <w:name w:val="Body Text 2"/>
    <w:basedOn w:val="Normal"/>
    <w:link w:val="Corpsdetexte2Car"/>
    <w:semiHidden/>
    <w:unhideWhenUsed/>
    <w:rsid w:val="002147C3"/>
    <w:pPr>
      <w:spacing w:after="120" w:line="480" w:lineRule="auto"/>
    </w:pPr>
  </w:style>
  <w:style w:type="character" w:customStyle="1" w:styleId="Corpsdetexte2Car">
    <w:name w:val="Corps de texte 2 Car"/>
    <w:link w:val="Corpsdetexte2"/>
    <w:rsid w:val="002147C3"/>
    <w:rPr>
      <w:rFonts w:ascii="Times New Roman" w:eastAsia="Times New Roman" w:hAnsi="Times New Roman"/>
      <w:sz w:val="24"/>
      <w:szCs w:val="24"/>
    </w:rPr>
  </w:style>
  <w:style w:type="paragraph" w:customStyle="1" w:styleId="CM14">
    <w:name w:val="CM14"/>
    <w:basedOn w:val="Default"/>
    <w:next w:val="Default"/>
    <w:uiPriority w:val="99"/>
    <w:rsid w:val="002147C3"/>
    <w:pPr>
      <w:widowControl w:val="0"/>
      <w:spacing w:after="115"/>
    </w:pPr>
    <w:rPr>
      <w:rFonts w:ascii="AWAAAA+F0" w:eastAsia="Times New Roman" w:hAnsi="AWAAAA+F0"/>
      <w:color w:val="auto"/>
      <w:lang w:eastAsia="fr-FR"/>
    </w:rPr>
  </w:style>
  <w:style w:type="paragraph" w:customStyle="1" w:styleId="1main">
    <w:name w:val="1.main"/>
    <w:rsid w:val="009A384E"/>
    <w:pPr>
      <w:widowControl w:val="0"/>
      <w:autoSpaceDE w:val="0"/>
      <w:autoSpaceDN w:val="0"/>
      <w:adjustRightInd w:val="0"/>
    </w:pPr>
    <w:rPr>
      <w:rFonts w:ascii="Times New Roman" w:eastAsia="Times New Roman" w:hAnsi="Times New Roman"/>
      <w:sz w:val="22"/>
      <w:szCs w:val="22"/>
      <w:lang w:val="en-GB" w:eastAsia="de-DE"/>
    </w:rPr>
  </w:style>
  <w:style w:type="paragraph" w:styleId="Rvision">
    <w:name w:val="Revision"/>
    <w:hidden/>
    <w:uiPriority w:val="99"/>
    <w:semiHidden/>
    <w:rsid w:val="000251B2"/>
    <w:rPr>
      <w:rFonts w:ascii="Times New Roman" w:eastAsia="Times New Roman" w:hAnsi="Times New Roman"/>
      <w:sz w:val="24"/>
      <w:szCs w:val="24"/>
    </w:rPr>
  </w:style>
  <w:style w:type="table" w:styleId="Listemoyenne2-Accent1">
    <w:name w:val="Medium List 2 Accent 1"/>
    <w:basedOn w:val="TableauNormal"/>
    <w:uiPriority w:val="66"/>
    <w:rsid w:val="009257D5"/>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gende">
    <w:name w:val="caption"/>
    <w:basedOn w:val="Normal"/>
    <w:next w:val="Normal"/>
    <w:uiPriority w:val="35"/>
    <w:unhideWhenUsed/>
    <w:qFormat/>
    <w:rsid w:val="00610328"/>
    <w:pPr>
      <w:spacing w:after="200"/>
    </w:pPr>
    <w:rPr>
      <w:i/>
      <w:iCs/>
      <w:color w:val="1F497D" w:themeColor="text2"/>
      <w:sz w:val="18"/>
      <w:szCs w:val="18"/>
    </w:rPr>
  </w:style>
  <w:style w:type="paragraph" w:styleId="Tabledesillustrations">
    <w:name w:val="table of figures"/>
    <w:basedOn w:val="Normal"/>
    <w:next w:val="Normal"/>
    <w:uiPriority w:val="99"/>
    <w:unhideWhenUsed/>
    <w:rsid w:val="004D723C"/>
  </w:style>
  <w:style w:type="character" w:styleId="Lienhypertexte">
    <w:name w:val="Hyperlink"/>
    <w:basedOn w:val="Policepardfaut"/>
    <w:uiPriority w:val="99"/>
    <w:unhideWhenUsed/>
    <w:rsid w:val="004D723C"/>
    <w:rPr>
      <w:color w:val="0000FF" w:themeColor="hyperlink"/>
      <w:u w:val="single"/>
    </w:rPr>
  </w:style>
  <w:style w:type="paragraph" w:styleId="En-ttedetabledesmatires">
    <w:name w:val="TOC Heading"/>
    <w:basedOn w:val="Titre1"/>
    <w:next w:val="Normal"/>
    <w:uiPriority w:val="39"/>
    <w:unhideWhenUsed/>
    <w:qFormat/>
    <w:rsid w:val="007F0EFB"/>
    <w:pPr>
      <w:keepLines/>
      <w:numPr>
        <w:numId w:val="0"/>
      </w:numPr>
      <w:shd w:val="clear" w:color="auto" w:fill="auto"/>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M1">
    <w:name w:val="toc 1"/>
    <w:basedOn w:val="Normal"/>
    <w:next w:val="Normal"/>
    <w:autoRedefine/>
    <w:uiPriority w:val="39"/>
    <w:unhideWhenUsed/>
    <w:rsid w:val="00807B10"/>
    <w:pPr>
      <w:tabs>
        <w:tab w:val="left" w:pos="660"/>
        <w:tab w:val="right" w:leader="hyphen" w:pos="9017"/>
      </w:tabs>
      <w:spacing w:after="100"/>
    </w:pPr>
  </w:style>
  <w:style w:type="paragraph" w:styleId="TM2">
    <w:name w:val="toc 2"/>
    <w:basedOn w:val="Normal"/>
    <w:next w:val="Normal"/>
    <w:autoRedefine/>
    <w:uiPriority w:val="39"/>
    <w:unhideWhenUsed/>
    <w:rsid w:val="00406E1C"/>
    <w:pPr>
      <w:tabs>
        <w:tab w:val="left" w:pos="1100"/>
        <w:tab w:val="right" w:leader="hyphen" w:pos="9017"/>
      </w:tabs>
      <w:spacing w:after="100"/>
      <w:ind w:left="240"/>
    </w:pPr>
  </w:style>
  <w:style w:type="paragraph" w:styleId="TM3">
    <w:name w:val="toc 3"/>
    <w:basedOn w:val="Normal"/>
    <w:next w:val="Normal"/>
    <w:autoRedefine/>
    <w:uiPriority w:val="39"/>
    <w:unhideWhenUsed/>
    <w:rsid w:val="00DA79F9"/>
    <w:pPr>
      <w:tabs>
        <w:tab w:val="left" w:pos="1540"/>
        <w:tab w:val="right" w:leader="hyphen" w:pos="9017"/>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991">
      <w:bodyDiv w:val="1"/>
      <w:marLeft w:val="0"/>
      <w:marRight w:val="0"/>
      <w:marTop w:val="0"/>
      <w:marBottom w:val="0"/>
      <w:divBdr>
        <w:top w:val="none" w:sz="0" w:space="0" w:color="auto"/>
        <w:left w:val="none" w:sz="0" w:space="0" w:color="auto"/>
        <w:bottom w:val="none" w:sz="0" w:space="0" w:color="auto"/>
        <w:right w:val="none" w:sz="0" w:space="0" w:color="auto"/>
      </w:divBdr>
    </w:div>
    <w:div w:id="56975608">
      <w:bodyDiv w:val="1"/>
      <w:marLeft w:val="0"/>
      <w:marRight w:val="0"/>
      <w:marTop w:val="0"/>
      <w:marBottom w:val="0"/>
      <w:divBdr>
        <w:top w:val="none" w:sz="0" w:space="0" w:color="auto"/>
        <w:left w:val="none" w:sz="0" w:space="0" w:color="auto"/>
        <w:bottom w:val="none" w:sz="0" w:space="0" w:color="auto"/>
        <w:right w:val="none" w:sz="0" w:space="0" w:color="auto"/>
      </w:divBdr>
    </w:div>
    <w:div w:id="92674176">
      <w:bodyDiv w:val="1"/>
      <w:marLeft w:val="0"/>
      <w:marRight w:val="0"/>
      <w:marTop w:val="0"/>
      <w:marBottom w:val="0"/>
      <w:divBdr>
        <w:top w:val="none" w:sz="0" w:space="0" w:color="auto"/>
        <w:left w:val="none" w:sz="0" w:space="0" w:color="auto"/>
        <w:bottom w:val="none" w:sz="0" w:space="0" w:color="auto"/>
        <w:right w:val="none" w:sz="0" w:space="0" w:color="auto"/>
      </w:divBdr>
    </w:div>
    <w:div w:id="114375193">
      <w:bodyDiv w:val="1"/>
      <w:marLeft w:val="0"/>
      <w:marRight w:val="0"/>
      <w:marTop w:val="0"/>
      <w:marBottom w:val="0"/>
      <w:divBdr>
        <w:top w:val="none" w:sz="0" w:space="0" w:color="auto"/>
        <w:left w:val="none" w:sz="0" w:space="0" w:color="auto"/>
        <w:bottom w:val="none" w:sz="0" w:space="0" w:color="auto"/>
        <w:right w:val="none" w:sz="0" w:space="0" w:color="auto"/>
      </w:divBdr>
    </w:div>
    <w:div w:id="121390261">
      <w:bodyDiv w:val="1"/>
      <w:marLeft w:val="0"/>
      <w:marRight w:val="0"/>
      <w:marTop w:val="0"/>
      <w:marBottom w:val="0"/>
      <w:divBdr>
        <w:top w:val="none" w:sz="0" w:space="0" w:color="auto"/>
        <w:left w:val="none" w:sz="0" w:space="0" w:color="auto"/>
        <w:bottom w:val="none" w:sz="0" w:space="0" w:color="auto"/>
        <w:right w:val="none" w:sz="0" w:space="0" w:color="auto"/>
      </w:divBdr>
    </w:div>
    <w:div w:id="214391095">
      <w:bodyDiv w:val="1"/>
      <w:marLeft w:val="0"/>
      <w:marRight w:val="0"/>
      <w:marTop w:val="0"/>
      <w:marBottom w:val="0"/>
      <w:divBdr>
        <w:top w:val="none" w:sz="0" w:space="0" w:color="auto"/>
        <w:left w:val="none" w:sz="0" w:space="0" w:color="auto"/>
        <w:bottom w:val="none" w:sz="0" w:space="0" w:color="auto"/>
        <w:right w:val="none" w:sz="0" w:space="0" w:color="auto"/>
      </w:divBdr>
    </w:div>
    <w:div w:id="322199359">
      <w:bodyDiv w:val="1"/>
      <w:marLeft w:val="0"/>
      <w:marRight w:val="0"/>
      <w:marTop w:val="0"/>
      <w:marBottom w:val="0"/>
      <w:divBdr>
        <w:top w:val="none" w:sz="0" w:space="0" w:color="auto"/>
        <w:left w:val="none" w:sz="0" w:space="0" w:color="auto"/>
        <w:bottom w:val="none" w:sz="0" w:space="0" w:color="auto"/>
        <w:right w:val="none" w:sz="0" w:space="0" w:color="auto"/>
      </w:divBdr>
    </w:div>
    <w:div w:id="385959699">
      <w:bodyDiv w:val="1"/>
      <w:marLeft w:val="0"/>
      <w:marRight w:val="0"/>
      <w:marTop w:val="0"/>
      <w:marBottom w:val="0"/>
      <w:divBdr>
        <w:top w:val="none" w:sz="0" w:space="0" w:color="auto"/>
        <w:left w:val="none" w:sz="0" w:space="0" w:color="auto"/>
        <w:bottom w:val="none" w:sz="0" w:space="0" w:color="auto"/>
        <w:right w:val="none" w:sz="0" w:space="0" w:color="auto"/>
      </w:divBdr>
    </w:div>
    <w:div w:id="403770507">
      <w:bodyDiv w:val="1"/>
      <w:marLeft w:val="0"/>
      <w:marRight w:val="0"/>
      <w:marTop w:val="0"/>
      <w:marBottom w:val="0"/>
      <w:divBdr>
        <w:top w:val="none" w:sz="0" w:space="0" w:color="auto"/>
        <w:left w:val="none" w:sz="0" w:space="0" w:color="auto"/>
        <w:bottom w:val="none" w:sz="0" w:space="0" w:color="auto"/>
        <w:right w:val="none" w:sz="0" w:space="0" w:color="auto"/>
      </w:divBdr>
    </w:div>
    <w:div w:id="448165037">
      <w:bodyDiv w:val="1"/>
      <w:marLeft w:val="0"/>
      <w:marRight w:val="0"/>
      <w:marTop w:val="0"/>
      <w:marBottom w:val="0"/>
      <w:divBdr>
        <w:top w:val="none" w:sz="0" w:space="0" w:color="auto"/>
        <w:left w:val="none" w:sz="0" w:space="0" w:color="auto"/>
        <w:bottom w:val="none" w:sz="0" w:space="0" w:color="auto"/>
        <w:right w:val="none" w:sz="0" w:space="0" w:color="auto"/>
      </w:divBdr>
    </w:div>
    <w:div w:id="499009291">
      <w:bodyDiv w:val="1"/>
      <w:marLeft w:val="0"/>
      <w:marRight w:val="0"/>
      <w:marTop w:val="0"/>
      <w:marBottom w:val="0"/>
      <w:divBdr>
        <w:top w:val="none" w:sz="0" w:space="0" w:color="auto"/>
        <w:left w:val="none" w:sz="0" w:space="0" w:color="auto"/>
        <w:bottom w:val="none" w:sz="0" w:space="0" w:color="auto"/>
        <w:right w:val="none" w:sz="0" w:space="0" w:color="auto"/>
      </w:divBdr>
    </w:div>
    <w:div w:id="555161004">
      <w:bodyDiv w:val="1"/>
      <w:marLeft w:val="0"/>
      <w:marRight w:val="0"/>
      <w:marTop w:val="0"/>
      <w:marBottom w:val="0"/>
      <w:divBdr>
        <w:top w:val="none" w:sz="0" w:space="0" w:color="auto"/>
        <w:left w:val="none" w:sz="0" w:space="0" w:color="auto"/>
        <w:bottom w:val="none" w:sz="0" w:space="0" w:color="auto"/>
        <w:right w:val="none" w:sz="0" w:space="0" w:color="auto"/>
      </w:divBdr>
    </w:div>
    <w:div w:id="631789049">
      <w:bodyDiv w:val="1"/>
      <w:marLeft w:val="0"/>
      <w:marRight w:val="0"/>
      <w:marTop w:val="0"/>
      <w:marBottom w:val="0"/>
      <w:divBdr>
        <w:top w:val="none" w:sz="0" w:space="0" w:color="auto"/>
        <w:left w:val="none" w:sz="0" w:space="0" w:color="auto"/>
        <w:bottom w:val="none" w:sz="0" w:space="0" w:color="auto"/>
        <w:right w:val="none" w:sz="0" w:space="0" w:color="auto"/>
      </w:divBdr>
    </w:div>
    <w:div w:id="665401225">
      <w:bodyDiv w:val="1"/>
      <w:marLeft w:val="0"/>
      <w:marRight w:val="0"/>
      <w:marTop w:val="0"/>
      <w:marBottom w:val="0"/>
      <w:divBdr>
        <w:top w:val="none" w:sz="0" w:space="0" w:color="auto"/>
        <w:left w:val="none" w:sz="0" w:space="0" w:color="auto"/>
        <w:bottom w:val="none" w:sz="0" w:space="0" w:color="auto"/>
        <w:right w:val="none" w:sz="0" w:space="0" w:color="auto"/>
      </w:divBdr>
    </w:div>
    <w:div w:id="713889906">
      <w:bodyDiv w:val="1"/>
      <w:marLeft w:val="0"/>
      <w:marRight w:val="0"/>
      <w:marTop w:val="0"/>
      <w:marBottom w:val="0"/>
      <w:divBdr>
        <w:top w:val="none" w:sz="0" w:space="0" w:color="auto"/>
        <w:left w:val="none" w:sz="0" w:space="0" w:color="auto"/>
        <w:bottom w:val="none" w:sz="0" w:space="0" w:color="auto"/>
        <w:right w:val="none" w:sz="0" w:space="0" w:color="auto"/>
      </w:divBdr>
    </w:div>
    <w:div w:id="809633335">
      <w:bodyDiv w:val="1"/>
      <w:marLeft w:val="0"/>
      <w:marRight w:val="0"/>
      <w:marTop w:val="0"/>
      <w:marBottom w:val="0"/>
      <w:divBdr>
        <w:top w:val="none" w:sz="0" w:space="0" w:color="auto"/>
        <w:left w:val="none" w:sz="0" w:space="0" w:color="auto"/>
        <w:bottom w:val="none" w:sz="0" w:space="0" w:color="auto"/>
        <w:right w:val="none" w:sz="0" w:space="0" w:color="auto"/>
      </w:divBdr>
    </w:div>
    <w:div w:id="893663827">
      <w:bodyDiv w:val="1"/>
      <w:marLeft w:val="0"/>
      <w:marRight w:val="0"/>
      <w:marTop w:val="0"/>
      <w:marBottom w:val="0"/>
      <w:divBdr>
        <w:top w:val="none" w:sz="0" w:space="0" w:color="auto"/>
        <w:left w:val="none" w:sz="0" w:space="0" w:color="auto"/>
        <w:bottom w:val="none" w:sz="0" w:space="0" w:color="auto"/>
        <w:right w:val="none" w:sz="0" w:space="0" w:color="auto"/>
      </w:divBdr>
    </w:div>
    <w:div w:id="1059480333">
      <w:bodyDiv w:val="1"/>
      <w:marLeft w:val="0"/>
      <w:marRight w:val="0"/>
      <w:marTop w:val="0"/>
      <w:marBottom w:val="0"/>
      <w:divBdr>
        <w:top w:val="none" w:sz="0" w:space="0" w:color="auto"/>
        <w:left w:val="none" w:sz="0" w:space="0" w:color="auto"/>
        <w:bottom w:val="none" w:sz="0" w:space="0" w:color="auto"/>
        <w:right w:val="none" w:sz="0" w:space="0" w:color="auto"/>
      </w:divBdr>
    </w:div>
    <w:div w:id="1104157628">
      <w:bodyDiv w:val="1"/>
      <w:marLeft w:val="0"/>
      <w:marRight w:val="0"/>
      <w:marTop w:val="0"/>
      <w:marBottom w:val="0"/>
      <w:divBdr>
        <w:top w:val="none" w:sz="0" w:space="0" w:color="auto"/>
        <w:left w:val="none" w:sz="0" w:space="0" w:color="auto"/>
        <w:bottom w:val="none" w:sz="0" w:space="0" w:color="auto"/>
        <w:right w:val="none" w:sz="0" w:space="0" w:color="auto"/>
      </w:divBdr>
    </w:div>
    <w:div w:id="1113935152">
      <w:bodyDiv w:val="1"/>
      <w:marLeft w:val="0"/>
      <w:marRight w:val="0"/>
      <w:marTop w:val="0"/>
      <w:marBottom w:val="0"/>
      <w:divBdr>
        <w:top w:val="none" w:sz="0" w:space="0" w:color="auto"/>
        <w:left w:val="none" w:sz="0" w:space="0" w:color="auto"/>
        <w:bottom w:val="none" w:sz="0" w:space="0" w:color="auto"/>
        <w:right w:val="none" w:sz="0" w:space="0" w:color="auto"/>
      </w:divBdr>
    </w:div>
    <w:div w:id="1177500926">
      <w:bodyDiv w:val="1"/>
      <w:marLeft w:val="0"/>
      <w:marRight w:val="0"/>
      <w:marTop w:val="0"/>
      <w:marBottom w:val="0"/>
      <w:divBdr>
        <w:top w:val="none" w:sz="0" w:space="0" w:color="auto"/>
        <w:left w:val="none" w:sz="0" w:space="0" w:color="auto"/>
        <w:bottom w:val="none" w:sz="0" w:space="0" w:color="auto"/>
        <w:right w:val="none" w:sz="0" w:space="0" w:color="auto"/>
      </w:divBdr>
    </w:div>
    <w:div w:id="1214847982">
      <w:bodyDiv w:val="1"/>
      <w:marLeft w:val="0"/>
      <w:marRight w:val="0"/>
      <w:marTop w:val="0"/>
      <w:marBottom w:val="0"/>
      <w:divBdr>
        <w:top w:val="none" w:sz="0" w:space="0" w:color="auto"/>
        <w:left w:val="none" w:sz="0" w:space="0" w:color="auto"/>
        <w:bottom w:val="none" w:sz="0" w:space="0" w:color="auto"/>
        <w:right w:val="none" w:sz="0" w:space="0" w:color="auto"/>
      </w:divBdr>
    </w:div>
    <w:div w:id="1352756130">
      <w:bodyDiv w:val="1"/>
      <w:marLeft w:val="0"/>
      <w:marRight w:val="0"/>
      <w:marTop w:val="0"/>
      <w:marBottom w:val="0"/>
      <w:divBdr>
        <w:top w:val="none" w:sz="0" w:space="0" w:color="auto"/>
        <w:left w:val="none" w:sz="0" w:space="0" w:color="auto"/>
        <w:bottom w:val="none" w:sz="0" w:space="0" w:color="auto"/>
        <w:right w:val="none" w:sz="0" w:space="0" w:color="auto"/>
      </w:divBdr>
    </w:div>
    <w:div w:id="1355768494">
      <w:bodyDiv w:val="1"/>
      <w:marLeft w:val="0"/>
      <w:marRight w:val="0"/>
      <w:marTop w:val="0"/>
      <w:marBottom w:val="0"/>
      <w:divBdr>
        <w:top w:val="none" w:sz="0" w:space="0" w:color="auto"/>
        <w:left w:val="none" w:sz="0" w:space="0" w:color="auto"/>
        <w:bottom w:val="none" w:sz="0" w:space="0" w:color="auto"/>
        <w:right w:val="none" w:sz="0" w:space="0" w:color="auto"/>
      </w:divBdr>
    </w:div>
    <w:div w:id="1377729775">
      <w:bodyDiv w:val="1"/>
      <w:marLeft w:val="0"/>
      <w:marRight w:val="0"/>
      <w:marTop w:val="0"/>
      <w:marBottom w:val="0"/>
      <w:divBdr>
        <w:top w:val="none" w:sz="0" w:space="0" w:color="auto"/>
        <w:left w:val="none" w:sz="0" w:space="0" w:color="auto"/>
        <w:bottom w:val="none" w:sz="0" w:space="0" w:color="auto"/>
        <w:right w:val="none" w:sz="0" w:space="0" w:color="auto"/>
      </w:divBdr>
    </w:div>
    <w:div w:id="1412773712">
      <w:bodyDiv w:val="1"/>
      <w:marLeft w:val="0"/>
      <w:marRight w:val="0"/>
      <w:marTop w:val="0"/>
      <w:marBottom w:val="0"/>
      <w:divBdr>
        <w:top w:val="none" w:sz="0" w:space="0" w:color="auto"/>
        <w:left w:val="none" w:sz="0" w:space="0" w:color="auto"/>
        <w:bottom w:val="none" w:sz="0" w:space="0" w:color="auto"/>
        <w:right w:val="none" w:sz="0" w:space="0" w:color="auto"/>
      </w:divBdr>
    </w:div>
    <w:div w:id="1447768901">
      <w:bodyDiv w:val="1"/>
      <w:marLeft w:val="0"/>
      <w:marRight w:val="0"/>
      <w:marTop w:val="0"/>
      <w:marBottom w:val="0"/>
      <w:divBdr>
        <w:top w:val="none" w:sz="0" w:space="0" w:color="auto"/>
        <w:left w:val="none" w:sz="0" w:space="0" w:color="auto"/>
        <w:bottom w:val="none" w:sz="0" w:space="0" w:color="auto"/>
        <w:right w:val="none" w:sz="0" w:space="0" w:color="auto"/>
      </w:divBdr>
    </w:div>
    <w:div w:id="1459110548">
      <w:bodyDiv w:val="1"/>
      <w:marLeft w:val="0"/>
      <w:marRight w:val="0"/>
      <w:marTop w:val="0"/>
      <w:marBottom w:val="0"/>
      <w:divBdr>
        <w:top w:val="none" w:sz="0" w:space="0" w:color="auto"/>
        <w:left w:val="none" w:sz="0" w:space="0" w:color="auto"/>
        <w:bottom w:val="none" w:sz="0" w:space="0" w:color="auto"/>
        <w:right w:val="none" w:sz="0" w:space="0" w:color="auto"/>
      </w:divBdr>
    </w:div>
    <w:div w:id="1524319831">
      <w:bodyDiv w:val="1"/>
      <w:marLeft w:val="0"/>
      <w:marRight w:val="0"/>
      <w:marTop w:val="0"/>
      <w:marBottom w:val="0"/>
      <w:divBdr>
        <w:top w:val="none" w:sz="0" w:space="0" w:color="auto"/>
        <w:left w:val="none" w:sz="0" w:space="0" w:color="auto"/>
        <w:bottom w:val="none" w:sz="0" w:space="0" w:color="auto"/>
        <w:right w:val="none" w:sz="0" w:space="0" w:color="auto"/>
      </w:divBdr>
    </w:div>
    <w:div w:id="1590968128">
      <w:bodyDiv w:val="1"/>
      <w:marLeft w:val="0"/>
      <w:marRight w:val="0"/>
      <w:marTop w:val="0"/>
      <w:marBottom w:val="0"/>
      <w:divBdr>
        <w:top w:val="none" w:sz="0" w:space="0" w:color="auto"/>
        <w:left w:val="none" w:sz="0" w:space="0" w:color="auto"/>
        <w:bottom w:val="none" w:sz="0" w:space="0" w:color="auto"/>
        <w:right w:val="none" w:sz="0" w:space="0" w:color="auto"/>
      </w:divBdr>
    </w:div>
    <w:div w:id="1676612366">
      <w:bodyDiv w:val="1"/>
      <w:marLeft w:val="0"/>
      <w:marRight w:val="0"/>
      <w:marTop w:val="0"/>
      <w:marBottom w:val="0"/>
      <w:divBdr>
        <w:top w:val="none" w:sz="0" w:space="0" w:color="auto"/>
        <w:left w:val="none" w:sz="0" w:space="0" w:color="auto"/>
        <w:bottom w:val="none" w:sz="0" w:space="0" w:color="auto"/>
        <w:right w:val="none" w:sz="0" w:space="0" w:color="auto"/>
      </w:divBdr>
    </w:div>
    <w:div w:id="1750299708">
      <w:bodyDiv w:val="1"/>
      <w:marLeft w:val="0"/>
      <w:marRight w:val="0"/>
      <w:marTop w:val="0"/>
      <w:marBottom w:val="0"/>
      <w:divBdr>
        <w:top w:val="none" w:sz="0" w:space="0" w:color="auto"/>
        <w:left w:val="none" w:sz="0" w:space="0" w:color="auto"/>
        <w:bottom w:val="none" w:sz="0" w:space="0" w:color="auto"/>
        <w:right w:val="none" w:sz="0" w:space="0" w:color="auto"/>
      </w:divBdr>
    </w:div>
    <w:div w:id="1771661613">
      <w:bodyDiv w:val="1"/>
      <w:marLeft w:val="0"/>
      <w:marRight w:val="0"/>
      <w:marTop w:val="0"/>
      <w:marBottom w:val="0"/>
      <w:divBdr>
        <w:top w:val="none" w:sz="0" w:space="0" w:color="auto"/>
        <w:left w:val="none" w:sz="0" w:space="0" w:color="auto"/>
        <w:bottom w:val="none" w:sz="0" w:space="0" w:color="auto"/>
        <w:right w:val="none" w:sz="0" w:space="0" w:color="auto"/>
      </w:divBdr>
    </w:div>
    <w:div w:id="1806968286">
      <w:bodyDiv w:val="1"/>
      <w:marLeft w:val="0"/>
      <w:marRight w:val="0"/>
      <w:marTop w:val="0"/>
      <w:marBottom w:val="0"/>
      <w:divBdr>
        <w:top w:val="none" w:sz="0" w:space="0" w:color="auto"/>
        <w:left w:val="none" w:sz="0" w:space="0" w:color="auto"/>
        <w:bottom w:val="none" w:sz="0" w:space="0" w:color="auto"/>
        <w:right w:val="none" w:sz="0" w:space="0" w:color="auto"/>
      </w:divBdr>
    </w:div>
    <w:div w:id="1822506325">
      <w:bodyDiv w:val="1"/>
      <w:marLeft w:val="0"/>
      <w:marRight w:val="0"/>
      <w:marTop w:val="0"/>
      <w:marBottom w:val="0"/>
      <w:divBdr>
        <w:top w:val="none" w:sz="0" w:space="0" w:color="auto"/>
        <w:left w:val="none" w:sz="0" w:space="0" w:color="auto"/>
        <w:bottom w:val="none" w:sz="0" w:space="0" w:color="auto"/>
        <w:right w:val="none" w:sz="0" w:space="0" w:color="auto"/>
      </w:divBdr>
    </w:div>
    <w:div w:id="1937639600">
      <w:bodyDiv w:val="1"/>
      <w:marLeft w:val="0"/>
      <w:marRight w:val="0"/>
      <w:marTop w:val="0"/>
      <w:marBottom w:val="0"/>
      <w:divBdr>
        <w:top w:val="none" w:sz="0" w:space="0" w:color="auto"/>
        <w:left w:val="none" w:sz="0" w:space="0" w:color="auto"/>
        <w:bottom w:val="none" w:sz="0" w:space="0" w:color="auto"/>
        <w:right w:val="none" w:sz="0" w:space="0" w:color="auto"/>
      </w:divBdr>
    </w:div>
    <w:div w:id="1981231974">
      <w:bodyDiv w:val="1"/>
      <w:marLeft w:val="0"/>
      <w:marRight w:val="0"/>
      <w:marTop w:val="0"/>
      <w:marBottom w:val="0"/>
      <w:divBdr>
        <w:top w:val="none" w:sz="0" w:space="0" w:color="auto"/>
        <w:left w:val="none" w:sz="0" w:space="0" w:color="auto"/>
        <w:bottom w:val="none" w:sz="0" w:space="0" w:color="auto"/>
        <w:right w:val="none" w:sz="0" w:space="0" w:color="auto"/>
      </w:divBdr>
    </w:div>
    <w:div w:id="1982152184">
      <w:bodyDiv w:val="1"/>
      <w:marLeft w:val="0"/>
      <w:marRight w:val="0"/>
      <w:marTop w:val="0"/>
      <w:marBottom w:val="0"/>
      <w:divBdr>
        <w:top w:val="none" w:sz="0" w:space="0" w:color="auto"/>
        <w:left w:val="none" w:sz="0" w:space="0" w:color="auto"/>
        <w:bottom w:val="none" w:sz="0" w:space="0" w:color="auto"/>
        <w:right w:val="none" w:sz="0" w:space="0" w:color="auto"/>
      </w:divBdr>
    </w:div>
    <w:div w:id="2031638428">
      <w:bodyDiv w:val="1"/>
      <w:marLeft w:val="0"/>
      <w:marRight w:val="0"/>
      <w:marTop w:val="0"/>
      <w:marBottom w:val="0"/>
      <w:divBdr>
        <w:top w:val="none" w:sz="0" w:space="0" w:color="auto"/>
        <w:left w:val="none" w:sz="0" w:space="0" w:color="auto"/>
        <w:bottom w:val="none" w:sz="0" w:space="0" w:color="auto"/>
        <w:right w:val="none" w:sz="0" w:space="0" w:color="auto"/>
      </w:divBdr>
    </w:div>
    <w:div w:id="207126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solidFill>
                  <a:sysClr val="windowText" lastClr="000000"/>
                </a:solidFill>
                <a:latin typeface="Arial" panose="020B0604020202020204" pitchFamily="34" charset="0"/>
                <a:cs typeface="Arial" panose="020B0604020202020204" pitchFamily="34" charset="0"/>
              </a:rPr>
              <a:t>Situation Groupement</a:t>
            </a:r>
            <a:r>
              <a:rPr lang="fr-FR" sz="1000" b="1" baseline="0">
                <a:solidFill>
                  <a:sysClr val="windowText" lastClr="000000"/>
                </a:solidFill>
                <a:latin typeface="Arial" panose="020B0604020202020204" pitchFamily="34" charset="0"/>
                <a:cs typeface="Arial" panose="020B0604020202020204" pitchFamily="34" charset="0"/>
              </a:rPr>
              <a:t> par PDE</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Feuil1!$B$87</c:f>
              <c:strCache>
                <c:ptCount val="1"/>
                <c:pt idx="0">
                  <c:v>Nbre Groupement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Feuil1!$A$88:$A$98</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Feuil1!$B$88:$B$98</c:f>
              <c:numCache>
                <c:formatCode>General</c:formatCode>
                <c:ptCount val="8"/>
                <c:pt idx="0">
                  <c:v>16</c:v>
                </c:pt>
                <c:pt idx="1">
                  <c:v>31</c:v>
                </c:pt>
                <c:pt idx="2">
                  <c:v>31</c:v>
                </c:pt>
                <c:pt idx="3">
                  <c:v>12</c:v>
                </c:pt>
                <c:pt idx="4">
                  <c:v>10</c:v>
                </c:pt>
                <c:pt idx="5">
                  <c:v>7</c:v>
                </c:pt>
                <c:pt idx="6">
                  <c:v>28</c:v>
                </c:pt>
                <c:pt idx="7">
                  <c:v>12</c:v>
                </c:pt>
              </c:numCache>
            </c:numRef>
          </c:val>
          <c:extLst>
            <c:ext xmlns:c16="http://schemas.microsoft.com/office/drawing/2014/chart" uri="{C3380CC4-5D6E-409C-BE32-E72D297353CC}">
              <c16:uniqueId val="{00000000-D5A5-4CA3-B76B-AF92035DCB52}"/>
            </c:ext>
          </c:extLst>
        </c:ser>
        <c:ser>
          <c:idx val="1"/>
          <c:order val="1"/>
          <c:tx>
            <c:strRef>
              <c:f>Feuil1!$C$87</c:f>
              <c:strCache>
                <c:ptCount val="1"/>
                <c:pt idx="0">
                  <c:v>Moyenne Groupement GFS</c:v>
                </c:pt>
              </c:strCache>
            </c:strRef>
          </c:tx>
          <c:spPr>
            <a:solidFill>
              <a:schemeClr val="accent2"/>
            </a:solidFill>
            <a:ln>
              <a:noFill/>
            </a:ln>
            <a:effectLst/>
            <a:sp3d/>
          </c:spPr>
          <c:invertIfNegative val="0"/>
          <c:dLbls>
            <c:dLbl>
              <c:idx val="0"/>
              <c:layout>
                <c:manualLayout>
                  <c:x val="1.3842746400885935E-2"/>
                  <c:y val="-0.143061516452074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A5-4CA3-B76B-AF92035DCB52}"/>
                </c:ext>
              </c:extLst>
            </c:dLbl>
            <c:dLbl>
              <c:idx val="1"/>
              <c:layout>
                <c:manualLayout>
                  <c:x val="2.768549280177187E-2"/>
                  <c:y val="-0.100143061516452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A5-4CA3-B76B-AF92035DCB52}"/>
                </c:ext>
              </c:extLst>
            </c:dLbl>
            <c:dLbl>
              <c:idx val="2"/>
              <c:layout>
                <c:manualLayout>
                  <c:x val="4.1528239202657857E-2"/>
                  <c:y val="-6.6762041010968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A5-4CA3-B76B-AF92035DCB52}"/>
                </c:ext>
              </c:extLst>
            </c:dLbl>
            <c:dLbl>
              <c:idx val="3"/>
              <c:layout>
                <c:manualLayout>
                  <c:x val="2.4916943521594584E-2"/>
                  <c:y val="-8.5836909871244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A5-4CA3-B76B-AF92035DCB52}"/>
                </c:ext>
              </c:extLst>
            </c:dLbl>
            <c:dLbl>
              <c:idx val="4"/>
              <c:layout>
                <c:manualLayout>
                  <c:x val="1.3842746400885834E-2"/>
                  <c:y val="-9.0605627086313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A5-4CA3-B76B-AF92035DCB52}"/>
                </c:ext>
              </c:extLst>
            </c:dLbl>
            <c:dLbl>
              <c:idx val="5"/>
              <c:layout>
                <c:manualLayout>
                  <c:x val="2.7685492801771874E-3"/>
                  <c:y val="-0.100143061516452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A5-4CA3-B76B-AF92035DCB52}"/>
                </c:ext>
              </c:extLst>
            </c:dLbl>
            <c:dLbl>
              <c:idx val="6"/>
              <c:layout>
                <c:manualLayout>
                  <c:x val="5.5370985603543643E-2"/>
                  <c:y val="-9.0605627086313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A5-4CA3-B76B-AF92035DCB52}"/>
                </c:ext>
              </c:extLst>
            </c:dLbl>
            <c:dLbl>
              <c:idx val="7"/>
              <c:layout>
                <c:manualLayout>
                  <c:x val="4.1528239202657705E-2"/>
                  <c:y val="-0.10968049594659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A5-4CA3-B76B-AF92035DCB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Feuil1!$A$88:$A$98</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Feuil1!$C$88:$C$98</c:f>
              <c:numCache>
                <c:formatCode>General</c:formatCode>
                <c:ptCount val="8"/>
                <c:pt idx="0">
                  <c:v>5</c:v>
                </c:pt>
                <c:pt idx="1">
                  <c:v>6</c:v>
                </c:pt>
                <c:pt idx="2">
                  <c:v>8</c:v>
                </c:pt>
                <c:pt idx="3">
                  <c:v>6</c:v>
                </c:pt>
                <c:pt idx="4">
                  <c:v>5</c:v>
                </c:pt>
                <c:pt idx="5">
                  <c:v>4</c:v>
                </c:pt>
                <c:pt idx="6">
                  <c:v>7</c:v>
                </c:pt>
                <c:pt idx="7">
                  <c:v>6</c:v>
                </c:pt>
              </c:numCache>
            </c:numRef>
          </c:val>
          <c:extLst>
            <c:ext xmlns:c16="http://schemas.microsoft.com/office/drawing/2014/chart" uri="{C3380CC4-5D6E-409C-BE32-E72D297353CC}">
              <c16:uniqueId val="{00000009-D5A5-4CA3-B76B-AF92035DCB52}"/>
            </c:ext>
          </c:extLst>
        </c:ser>
        <c:dLbls>
          <c:showLegendKey val="0"/>
          <c:showVal val="0"/>
          <c:showCatName val="0"/>
          <c:showSerName val="0"/>
          <c:showPercent val="0"/>
          <c:showBubbleSize val="0"/>
        </c:dLbls>
        <c:gapWidth val="150"/>
        <c:shape val="box"/>
        <c:axId val="611457392"/>
        <c:axId val="611452800"/>
        <c:axId val="0"/>
      </c:bar3DChart>
      <c:catAx>
        <c:axId val="61145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11452800"/>
        <c:crosses val="autoZero"/>
        <c:auto val="1"/>
        <c:lblAlgn val="ctr"/>
        <c:lblOffset val="100"/>
        <c:noMultiLvlLbl val="0"/>
      </c:catAx>
      <c:valAx>
        <c:axId val="61145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11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Période des cessions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Feuil2!$B$80</c:f>
              <c:strCache>
                <c:ptCount val="1"/>
                <c:pt idx="0">
                  <c:v>Période Distribution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Feuil2!$A$81:$A$86</c:f>
              <c:strCache>
                <c:ptCount val="5"/>
                <c:pt idx="0">
                  <c:v>Labour</c:v>
                </c:pt>
                <c:pt idx="1">
                  <c:v>Période semis</c:v>
                </c:pt>
                <c:pt idx="2">
                  <c:v>Préparation champs</c:v>
                </c:pt>
                <c:pt idx="3">
                  <c:v>Sarclage</c:v>
                </c:pt>
                <c:pt idx="4">
                  <c:v>Autres</c:v>
                </c:pt>
              </c:strCache>
            </c:strRef>
          </c:cat>
          <c:val>
            <c:numRef>
              <c:f>Feuil2!$B$81:$B$86</c:f>
              <c:numCache>
                <c:formatCode>0%</c:formatCode>
                <c:ptCount val="5"/>
                <c:pt idx="0">
                  <c:v>0.70833333333333337</c:v>
                </c:pt>
                <c:pt idx="1">
                  <c:v>0.20833333333333334</c:v>
                </c:pt>
                <c:pt idx="2">
                  <c:v>8.3333333333333329E-2</c:v>
                </c:pt>
                <c:pt idx="3">
                  <c:v>0</c:v>
                </c:pt>
                <c:pt idx="4">
                  <c:v>0</c:v>
                </c:pt>
              </c:numCache>
            </c:numRef>
          </c:val>
          <c:extLst>
            <c:ext xmlns:c16="http://schemas.microsoft.com/office/drawing/2014/chart" uri="{C3380CC4-5D6E-409C-BE32-E72D297353CC}">
              <c16:uniqueId val="{00000000-B02C-4E5F-8BBD-7D41A2192FCD}"/>
            </c:ext>
          </c:extLst>
        </c:ser>
        <c:ser>
          <c:idx val="1"/>
          <c:order val="1"/>
          <c:tx>
            <c:strRef>
              <c:f>Feuil2!$C$80</c:f>
              <c:strCache>
                <c:ptCount val="1"/>
                <c:pt idx="0">
                  <c:v>Période Distribution 2</c:v>
                </c:pt>
              </c:strCache>
            </c:strRef>
          </c:tx>
          <c:spPr>
            <a:solidFill>
              <a:schemeClr val="accent2"/>
            </a:solidFill>
            <a:ln>
              <a:noFill/>
            </a:ln>
            <a:effectLst/>
            <a:sp3d/>
          </c:spPr>
          <c:invertIfNegative val="0"/>
          <c:dLbls>
            <c:dLbl>
              <c:idx val="0"/>
              <c:layout>
                <c:manualLayout>
                  <c:x val="3.5753575357535705E-2"/>
                  <c:y val="-2.7678924476077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C-4E5F-8BBD-7D41A2192FCD}"/>
                </c:ext>
              </c:extLst>
            </c:dLbl>
            <c:dLbl>
              <c:idx val="1"/>
              <c:layout>
                <c:manualLayout>
                  <c:x val="2.4752475247524702E-2"/>
                  <c:y val="-3.1633056544088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C-4E5F-8BBD-7D41A2192FCD}"/>
                </c:ext>
              </c:extLst>
            </c:dLbl>
            <c:dLbl>
              <c:idx val="2"/>
              <c:layout>
                <c:manualLayout>
                  <c:x val="3.0253025302530254E-2"/>
                  <c:y val="-4.3495452748121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2C-4E5F-8BBD-7D41A2192FC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Feuil2!$A$81:$A$86</c:f>
              <c:strCache>
                <c:ptCount val="5"/>
                <c:pt idx="0">
                  <c:v>Labour</c:v>
                </c:pt>
                <c:pt idx="1">
                  <c:v>Période semis</c:v>
                </c:pt>
                <c:pt idx="2">
                  <c:v>Préparation champs</c:v>
                </c:pt>
                <c:pt idx="3">
                  <c:v>Sarclage</c:v>
                </c:pt>
                <c:pt idx="4">
                  <c:v>Autres</c:v>
                </c:pt>
              </c:strCache>
            </c:strRef>
          </c:cat>
          <c:val>
            <c:numRef>
              <c:f>Feuil2!$C$81:$C$86</c:f>
              <c:numCache>
                <c:formatCode>0%</c:formatCode>
                <c:ptCount val="5"/>
                <c:pt idx="0">
                  <c:v>0.16666666666666666</c:v>
                </c:pt>
                <c:pt idx="1">
                  <c:v>0</c:v>
                </c:pt>
                <c:pt idx="2">
                  <c:v>0</c:v>
                </c:pt>
                <c:pt idx="3">
                  <c:v>0.75</c:v>
                </c:pt>
                <c:pt idx="4">
                  <c:v>8.3333333333333329E-2</c:v>
                </c:pt>
              </c:numCache>
            </c:numRef>
          </c:val>
          <c:extLst>
            <c:ext xmlns:c16="http://schemas.microsoft.com/office/drawing/2014/chart" uri="{C3380CC4-5D6E-409C-BE32-E72D297353CC}">
              <c16:uniqueId val="{00000004-B02C-4E5F-8BBD-7D41A2192FCD}"/>
            </c:ext>
          </c:extLst>
        </c:ser>
        <c:dLbls>
          <c:showLegendKey val="0"/>
          <c:showVal val="0"/>
          <c:showCatName val="0"/>
          <c:showSerName val="0"/>
          <c:showPercent val="0"/>
          <c:showBubbleSize val="0"/>
        </c:dLbls>
        <c:gapWidth val="150"/>
        <c:shape val="box"/>
        <c:axId val="575253320"/>
        <c:axId val="575251352"/>
        <c:axId val="0"/>
      </c:bar3DChart>
      <c:catAx>
        <c:axId val="575253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5251352"/>
        <c:crosses val="autoZero"/>
        <c:auto val="1"/>
        <c:lblAlgn val="ctr"/>
        <c:lblOffset val="100"/>
        <c:noMultiLvlLbl val="0"/>
      </c:catAx>
      <c:valAx>
        <c:axId val="5752513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525332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Sources</a:t>
            </a:r>
            <a:r>
              <a:rPr lang="fr-FR" sz="1000" b="1" baseline="0">
                <a:solidFill>
                  <a:sysClr val="windowText" lastClr="000000"/>
                </a:solidFill>
                <a:latin typeface="Arial" panose="020B0604020202020204" pitchFamily="34" charset="0"/>
                <a:cs typeface="Arial" panose="020B0604020202020204" pitchFamily="34" charset="0"/>
              </a:rPr>
              <a:t> de remboursement de prêt</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Feuil3!$A$25</c:f>
              <c:strCache>
                <c:ptCount val="1"/>
                <c:pt idx="0">
                  <c:v>Maradi</c:v>
                </c:pt>
              </c:strCache>
            </c:strRef>
          </c:tx>
          <c:spPr>
            <a:solidFill>
              <a:schemeClr val="accent1"/>
            </a:solidFill>
            <a:ln>
              <a:noFill/>
            </a:ln>
            <a:effectLst/>
          </c:spPr>
          <c:invertIfNegative val="0"/>
          <c:cat>
            <c:strRef>
              <c:f>Feuil3!$B$24:$D$24</c:f>
              <c:strCache>
                <c:ptCount val="3"/>
                <c:pt idx="0">
                  <c:v>Production Familiale</c:v>
                </c:pt>
                <c:pt idx="1">
                  <c:v>Production de la femme</c:v>
                </c:pt>
                <c:pt idx="2">
                  <c:v>Marché</c:v>
                </c:pt>
              </c:strCache>
            </c:strRef>
          </c:cat>
          <c:val>
            <c:numRef>
              <c:f>Feuil3!$B$25:$D$25</c:f>
            </c:numRef>
          </c:val>
          <c:extLst>
            <c:ext xmlns:c16="http://schemas.microsoft.com/office/drawing/2014/chart" uri="{C3380CC4-5D6E-409C-BE32-E72D297353CC}">
              <c16:uniqueId val="{00000000-71BF-4507-8139-338AC543472D}"/>
            </c:ext>
          </c:extLst>
        </c:ser>
        <c:ser>
          <c:idx val="1"/>
          <c:order val="1"/>
          <c:tx>
            <c:strRef>
              <c:f>Feuil3!$A$26</c:f>
              <c:strCache>
                <c:ptCount val="1"/>
                <c:pt idx="0">
                  <c:v>Tahoua</c:v>
                </c:pt>
              </c:strCache>
            </c:strRef>
          </c:tx>
          <c:spPr>
            <a:solidFill>
              <a:schemeClr val="accent2"/>
            </a:solidFill>
            <a:ln>
              <a:noFill/>
            </a:ln>
            <a:effectLst/>
          </c:spPr>
          <c:invertIfNegative val="0"/>
          <c:cat>
            <c:strRef>
              <c:f>Feuil3!$B$24:$D$24</c:f>
              <c:strCache>
                <c:ptCount val="3"/>
                <c:pt idx="0">
                  <c:v>Production Familiale</c:v>
                </c:pt>
                <c:pt idx="1">
                  <c:v>Production de la femme</c:v>
                </c:pt>
                <c:pt idx="2">
                  <c:v>Marché</c:v>
                </c:pt>
              </c:strCache>
            </c:strRef>
          </c:cat>
          <c:val>
            <c:numRef>
              <c:f>Feuil3!$B$26:$D$26</c:f>
            </c:numRef>
          </c:val>
          <c:extLst>
            <c:ext xmlns:c16="http://schemas.microsoft.com/office/drawing/2014/chart" uri="{C3380CC4-5D6E-409C-BE32-E72D297353CC}">
              <c16:uniqueId val="{00000001-71BF-4507-8139-338AC543472D}"/>
            </c:ext>
          </c:extLst>
        </c:ser>
        <c:ser>
          <c:idx val="2"/>
          <c:order val="2"/>
          <c:tx>
            <c:strRef>
              <c:f>Feuil3!$A$27</c:f>
              <c:strCache>
                <c:ptCount val="1"/>
                <c:pt idx="0">
                  <c:v>Zinder</c:v>
                </c:pt>
              </c:strCache>
            </c:strRef>
          </c:tx>
          <c:spPr>
            <a:solidFill>
              <a:schemeClr val="accent3"/>
            </a:solidFill>
            <a:ln>
              <a:noFill/>
            </a:ln>
            <a:effectLst/>
          </c:spPr>
          <c:invertIfNegative val="0"/>
          <c:cat>
            <c:strRef>
              <c:f>Feuil3!$B$24:$D$24</c:f>
              <c:strCache>
                <c:ptCount val="3"/>
                <c:pt idx="0">
                  <c:v>Production Familiale</c:v>
                </c:pt>
                <c:pt idx="1">
                  <c:v>Production de la femme</c:v>
                </c:pt>
                <c:pt idx="2">
                  <c:v>Marché</c:v>
                </c:pt>
              </c:strCache>
            </c:strRef>
          </c:cat>
          <c:val>
            <c:numRef>
              <c:f>Feuil3!$B$27:$D$27</c:f>
            </c:numRef>
          </c:val>
          <c:extLst>
            <c:ext xmlns:c16="http://schemas.microsoft.com/office/drawing/2014/chart" uri="{C3380CC4-5D6E-409C-BE32-E72D297353CC}">
              <c16:uniqueId val="{00000002-71BF-4507-8139-338AC543472D}"/>
            </c:ext>
          </c:extLst>
        </c:ser>
        <c:ser>
          <c:idx val="3"/>
          <c:order val="3"/>
          <c:tx>
            <c:strRef>
              <c:f>Feuil3!$A$28</c:f>
              <c:strCache>
                <c:ptCount val="1"/>
                <c:pt idx="0">
                  <c:v>Total général</c:v>
                </c:pt>
              </c:strCache>
            </c:strRef>
          </c:tx>
          <c:spPr>
            <a:solidFill>
              <a:schemeClr val="accent4"/>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4-71BF-4507-8139-338AC543472D}"/>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6-71BF-4507-8139-338AC543472D}"/>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8-71BF-4507-8139-338AC543472D}"/>
              </c:ext>
            </c:extLst>
          </c:dPt>
          <c:cat>
            <c:strRef>
              <c:f>Feuil3!$B$24:$D$24</c:f>
              <c:strCache>
                <c:ptCount val="3"/>
                <c:pt idx="0">
                  <c:v>Production Familiale</c:v>
                </c:pt>
                <c:pt idx="1">
                  <c:v>Production de la femme</c:v>
                </c:pt>
                <c:pt idx="2">
                  <c:v>Marché</c:v>
                </c:pt>
              </c:strCache>
            </c:strRef>
          </c:cat>
          <c:val>
            <c:numRef>
              <c:f>Feuil3!$B$28:$D$28</c:f>
              <c:numCache>
                <c:formatCode>General</c:formatCode>
                <c:ptCount val="3"/>
                <c:pt idx="0">
                  <c:v>24</c:v>
                </c:pt>
                <c:pt idx="1">
                  <c:v>3</c:v>
                </c:pt>
                <c:pt idx="2">
                  <c:v>6</c:v>
                </c:pt>
              </c:numCache>
            </c:numRef>
          </c:val>
          <c:extLst>
            <c:ext xmlns:c16="http://schemas.microsoft.com/office/drawing/2014/chart" uri="{C3380CC4-5D6E-409C-BE32-E72D297353CC}">
              <c16:uniqueId val="{00000009-71BF-4507-8139-338AC543472D}"/>
            </c:ext>
          </c:extLst>
        </c:ser>
        <c:dLbls>
          <c:showLegendKey val="0"/>
          <c:showVal val="0"/>
          <c:showCatName val="0"/>
          <c:showSerName val="0"/>
          <c:showPercent val="0"/>
          <c:showBubbleSize val="0"/>
        </c:dLbls>
        <c:gapWidth val="219"/>
        <c:overlap val="-27"/>
        <c:axId val="548058976"/>
        <c:axId val="548055040"/>
      </c:barChart>
      <c:lineChart>
        <c:grouping val="standard"/>
        <c:varyColors val="0"/>
        <c:ser>
          <c:idx val="4"/>
          <c:order val="4"/>
          <c:tx>
            <c:strRef>
              <c:f>Feuil3!$A$29</c:f>
              <c:strCache>
                <c:ptCount val="1"/>
                <c:pt idx="0">
                  <c:v>Proportion %</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Feuil3!$B$24:$D$24</c:f>
              <c:strCache>
                <c:ptCount val="3"/>
                <c:pt idx="0">
                  <c:v>Production Familiale</c:v>
                </c:pt>
                <c:pt idx="1">
                  <c:v>Production de la femme</c:v>
                </c:pt>
                <c:pt idx="2">
                  <c:v>Marché</c:v>
                </c:pt>
              </c:strCache>
            </c:strRef>
          </c:cat>
          <c:val>
            <c:numRef>
              <c:f>Feuil3!$B$29:$D$29</c:f>
              <c:numCache>
                <c:formatCode>0%</c:formatCode>
                <c:ptCount val="3"/>
                <c:pt idx="0">
                  <c:v>0.72727272727272729</c:v>
                </c:pt>
                <c:pt idx="1">
                  <c:v>9.0909090909090912E-2</c:v>
                </c:pt>
                <c:pt idx="2">
                  <c:v>0.18181818181818182</c:v>
                </c:pt>
              </c:numCache>
            </c:numRef>
          </c:val>
          <c:smooth val="0"/>
          <c:extLst>
            <c:ext xmlns:c16="http://schemas.microsoft.com/office/drawing/2014/chart" uri="{C3380CC4-5D6E-409C-BE32-E72D297353CC}">
              <c16:uniqueId val="{0000000A-71BF-4507-8139-338AC543472D}"/>
            </c:ext>
          </c:extLst>
        </c:ser>
        <c:dLbls>
          <c:showLegendKey val="0"/>
          <c:showVal val="0"/>
          <c:showCatName val="0"/>
          <c:showSerName val="0"/>
          <c:showPercent val="0"/>
          <c:showBubbleSize val="0"/>
        </c:dLbls>
        <c:marker val="1"/>
        <c:smooth val="0"/>
        <c:axId val="548052416"/>
        <c:axId val="548052088"/>
      </c:lineChart>
      <c:catAx>
        <c:axId val="5480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8055040"/>
        <c:crosses val="autoZero"/>
        <c:auto val="1"/>
        <c:lblAlgn val="ctr"/>
        <c:lblOffset val="100"/>
        <c:noMultiLvlLbl val="0"/>
      </c:catAx>
      <c:valAx>
        <c:axId val="54805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8058976"/>
        <c:crosses val="autoZero"/>
        <c:crossBetween val="between"/>
      </c:valAx>
      <c:valAx>
        <c:axId val="5480520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8052416"/>
        <c:crosses val="max"/>
        <c:crossBetween val="between"/>
      </c:valAx>
      <c:catAx>
        <c:axId val="548052416"/>
        <c:scaling>
          <c:orientation val="minMax"/>
        </c:scaling>
        <c:delete val="1"/>
        <c:axPos val="b"/>
        <c:numFmt formatCode="General" sourceLinked="1"/>
        <c:majorTickMark val="none"/>
        <c:minorTickMark val="none"/>
        <c:tickLblPos val="nextTo"/>
        <c:crossAx val="548052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Sources</a:t>
            </a:r>
            <a:r>
              <a:rPr lang="fr-FR" sz="1000" b="1" baseline="0">
                <a:solidFill>
                  <a:sysClr val="windowText" lastClr="000000"/>
                </a:solidFill>
                <a:latin typeface="Arial" panose="020B0604020202020204" pitchFamily="34" charset="0"/>
                <a:cs typeface="Arial" panose="020B0604020202020204" pitchFamily="34" charset="0"/>
              </a:rPr>
              <a:t> de rembouresemnt de prêt par région</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Feuil3!$B$40</c:f>
              <c:strCache>
                <c:ptCount val="1"/>
                <c:pt idx="0">
                  <c:v>Production Familiale</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Feuil3!$A$41:$A$45</c:f>
              <c:strCache>
                <c:ptCount val="3"/>
                <c:pt idx="0">
                  <c:v>Maradi</c:v>
                </c:pt>
                <c:pt idx="1">
                  <c:v>Tahoua</c:v>
                </c:pt>
                <c:pt idx="2">
                  <c:v>Zinder</c:v>
                </c:pt>
              </c:strCache>
            </c:strRef>
          </c:cat>
          <c:val>
            <c:numRef>
              <c:f>Feuil3!$B$41:$B$45</c:f>
              <c:numCache>
                <c:formatCode>0%</c:formatCode>
                <c:ptCount val="3"/>
                <c:pt idx="0">
                  <c:v>0.66666666666666663</c:v>
                </c:pt>
                <c:pt idx="1">
                  <c:v>1</c:v>
                </c:pt>
                <c:pt idx="2">
                  <c:v>0.61538461538461542</c:v>
                </c:pt>
              </c:numCache>
            </c:numRef>
          </c:val>
          <c:extLst>
            <c:ext xmlns:c16="http://schemas.microsoft.com/office/drawing/2014/chart" uri="{C3380CC4-5D6E-409C-BE32-E72D297353CC}">
              <c16:uniqueId val="{00000000-12D9-4A6A-AB27-8A9EE21BD330}"/>
            </c:ext>
          </c:extLst>
        </c:ser>
        <c:ser>
          <c:idx val="1"/>
          <c:order val="1"/>
          <c:tx>
            <c:strRef>
              <c:f>Feuil3!$C$40</c:f>
              <c:strCache>
                <c:ptCount val="1"/>
                <c:pt idx="0">
                  <c:v>Production de la femme</c:v>
                </c:pt>
              </c:strCache>
            </c:strRef>
          </c:tx>
          <c:spPr>
            <a:solidFill>
              <a:srgbClr val="C0504D">
                <a:lumMod val="75000"/>
              </a:srgbClr>
            </a:solidFill>
            <a:ln>
              <a:noFill/>
            </a:ln>
            <a:effectLst/>
            <a:sp3d/>
          </c:spPr>
          <c:invertIfNegative val="0"/>
          <c:dPt>
            <c:idx val="0"/>
            <c:invertIfNegative val="0"/>
            <c:bubble3D val="0"/>
            <c:spPr>
              <a:solidFill>
                <a:srgbClr val="C0504D">
                  <a:lumMod val="75000"/>
                </a:srgbClr>
              </a:solidFill>
              <a:ln>
                <a:noFill/>
              </a:ln>
              <a:effectLst/>
              <a:sp3d/>
            </c:spPr>
            <c:extLst>
              <c:ext xmlns:c16="http://schemas.microsoft.com/office/drawing/2014/chart" uri="{C3380CC4-5D6E-409C-BE32-E72D297353CC}">
                <c16:uniqueId val="{00000002-12D9-4A6A-AB27-8A9EE21BD33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Feuil3!$A$41:$A$45</c:f>
              <c:strCache>
                <c:ptCount val="3"/>
                <c:pt idx="0">
                  <c:v>Maradi</c:v>
                </c:pt>
                <c:pt idx="1">
                  <c:v>Tahoua</c:v>
                </c:pt>
                <c:pt idx="2">
                  <c:v>Zinder</c:v>
                </c:pt>
              </c:strCache>
            </c:strRef>
          </c:cat>
          <c:val>
            <c:numRef>
              <c:f>Feuil3!$C$41:$C$45</c:f>
              <c:numCache>
                <c:formatCode>0%</c:formatCode>
                <c:ptCount val="3"/>
                <c:pt idx="0">
                  <c:v>0.16666666666666666</c:v>
                </c:pt>
                <c:pt idx="1">
                  <c:v>0</c:v>
                </c:pt>
                <c:pt idx="2">
                  <c:v>7.6923076923076927E-2</c:v>
                </c:pt>
              </c:numCache>
            </c:numRef>
          </c:val>
          <c:extLst>
            <c:ext xmlns:c16="http://schemas.microsoft.com/office/drawing/2014/chart" uri="{C3380CC4-5D6E-409C-BE32-E72D297353CC}">
              <c16:uniqueId val="{00000003-12D9-4A6A-AB27-8A9EE21BD330}"/>
            </c:ext>
          </c:extLst>
        </c:ser>
        <c:ser>
          <c:idx val="2"/>
          <c:order val="2"/>
          <c:tx>
            <c:strRef>
              <c:f>Feuil3!$D$40</c:f>
              <c:strCache>
                <c:ptCount val="1"/>
                <c:pt idx="0">
                  <c:v>Marché</c:v>
                </c:pt>
              </c:strCache>
            </c:strRef>
          </c:tx>
          <c:spPr>
            <a:solidFill>
              <a:schemeClr val="accent1">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Feuil3!$A$41:$A$45</c:f>
              <c:strCache>
                <c:ptCount val="3"/>
                <c:pt idx="0">
                  <c:v>Maradi</c:v>
                </c:pt>
                <c:pt idx="1">
                  <c:v>Tahoua</c:v>
                </c:pt>
                <c:pt idx="2">
                  <c:v>Zinder</c:v>
                </c:pt>
              </c:strCache>
            </c:strRef>
          </c:cat>
          <c:val>
            <c:numRef>
              <c:f>Feuil3!$D$41:$D$45</c:f>
              <c:numCache>
                <c:formatCode>0%</c:formatCode>
                <c:ptCount val="3"/>
                <c:pt idx="0">
                  <c:v>0.16666666666666666</c:v>
                </c:pt>
                <c:pt idx="1">
                  <c:v>0</c:v>
                </c:pt>
                <c:pt idx="2">
                  <c:v>0.30769230769230771</c:v>
                </c:pt>
              </c:numCache>
            </c:numRef>
          </c:val>
          <c:extLst>
            <c:ext xmlns:c16="http://schemas.microsoft.com/office/drawing/2014/chart" uri="{C3380CC4-5D6E-409C-BE32-E72D297353CC}">
              <c16:uniqueId val="{00000004-12D9-4A6A-AB27-8A9EE21BD330}"/>
            </c:ext>
          </c:extLst>
        </c:ser>
        <c:ser>
          <c:idx val="3"/>
          <c:order val="3"/>
          <c:tx>
            <c:strRef>
              <c:f>Feuil3!$E$40</c:f>
              <c:strCache>
                <c:ptCount val="1"/>
                <c:pt idx="0">
                  <c:v>Total </c:v>
                </c:pt>
              </c:strCache>
            </c:strRef>
          </c:tx>
          <c:spPr>
            <a:solidFill>
              <a:schemeClr val="accent4"/>
            </a:solidFill>
            <a:ln>
              <a:noFill/>
            </a:ln>
            <a:effectLst/>
            <a:sp3d/>
          </c:spPr>
          <c:invertIfNegative val="0"/>
          <c:cat>
            <c:strRef>
              <c:f>Feuil3!$A$41:$A$45</c:f>
              <c:strCache>
                <c:ptCount val="3"/>
                <c:pt idx="0">
                  <c:v>Maradi</c:v>
                </c:pt>
                <c:pt idx="1">
                  <c:v>Tahoua</c:v>
                </c:pt>
                <c:pt idx="2">
                  <c:v>Zinder</c:v>
                </c:pt>
              </c:strCache>
            </c:strRef>
          </c:cat>
          <c:val>
            <c:numRef>
              <c:f>Feuil3!$E$41:$E$45</c:f>
            </c:numRef>
          </c:val>
          <c:extLst>
            <c:ext xmlns:c16="http://schemas.microsoft.com/office/drawing/2014/chart" uri="{C3380CC4-5D6E-409C-BE32-E72D297353CC}">
              <c16:uniqueId val="{00000005-12D9-4A6A-AB27-8A9EE21BD330}"/>
            </c:ext>
          </c:extLst>
        </c:ser>
        <c:dLbls>
          <c:showLegendKey val="0"/>
          <c:showVal val="0"/>
          <c:showCatName val="0"/>
          <c:showSerName val="0"/>
          <c:showPercent val="0"/>
          <c:showBubbleSize val="0"/>
        </c:dLbls>
        <c:gapWidth val="150"/>
        <c:shape val="box"/>
        <c:axId val="671459552"/>
        <c:axId val="671459880"/>
        <c:axId val="0"/>
      </c:bar3DChart>
      <c:catAx>
        <c:axId val="671459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671459880"/>
        <c:crosses val="autoZero"/>
        <c:auto val="1"/>
        <c:lblAlgn val="ctr"/>
        <c:lblOffset val="100"/>
        <c:noMultiLvlLbl val="0"/>
      </c:catAx>
      <c:valAx>
        <c:axId val="671459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7145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solidFill>
                  <a:sysClr val="windowText" lastClr="000000"/>
                </a:solidFill>
                <a:latin typeface="Arial" panose="020B0604020202020204" pitchFamily="34" charset="0"/>
                <a:cs typeface="Arial" panose="020B0604020202020204" pitchFamily="34" charset="0"/>
              </a:rPr>
              <a:t>Situation de remboursement de prêt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Feuil1!$B$21</c:f>
              <c:strCache>
                <c:ptCount val="1"/>
                <c:pt idx="0">
                  <c:v>Quantité à rembourser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Feuil1!$A$22:$A$30</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Feuil1!$B$22:$B$30</c:f>
              <c:numCache>
                <c:formatCode>General</c:formatCode>
                <c:ptCount val="8"/>
                <c:pt idx="0">
                  <c:v>2037</c:v>
                </c:pt>
                <c:pt idx="1">
                  <c:v>634</c:v>
                </c:pt>
                <c:pt idx="2">
                  <c:v>1139</c:v>
                </c:pt>
                <c:pt idx="3">
                  <c:v>922</c:v>
                </c:pt>
                <c:pt idx="4">
                  <c:v>617</c:v>
                </c:pt>
                <c:pt idx="5">
                  <c:v>1038</c:v>
                </c:pt>
                <c:pt idx="6">
                  <c:v>1076</c:v>
                </c:pt>
                <c:pt idx="7">
                  <c:v>1111</c:v>
                </c:pt>
              </c:numCache>
            </c:numRef>
          </c:val>
          <c:extLst>
            <c:ext xmlns:c16="http://schemas.microsoft.com/office/drawing/2014/chart" uri="{C3380CC4-5D6E-409C-BE32-E72D297353CC}">
              <c16:uniqueId val="{00000000-083D-457F-AB52-7BEA86893F42}"/>
            </c:ext>
          </c:extLst>
        </c:ser>
        <c:ser>
          <c:idx val="1"/>
          <c:order val="1"/>
          <c:tx>
            <c:strRef>
              <c:f>Feuil1!$C$21</c:f>
              <c:strCache>
                <c:ptCount val="1"/>
                <c:pt idx="0">
                  <c:v>Quantité remboursée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Feuil1!$A$22:$A$30</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Feuil1!$C$22:$C$30</c:f>
            </c:numRef>
          </c:val>
          <c:extLst>
            <c:ext xmlns:c16="http://schemas.microsoft.com/office/drawing/2014/chart" uri="{C3380CC4-5D6E-409C-BE32-E72D297353CC}">
              <c16:uniqueId val="{00000001-083D-457F-AB52-7BEA86893F42}"/>
            </c:ext>
          </c:extLst>
        </c:ser>
        <c:ser>
          <c:idx val="2"/>
          <c:order val="2"/>
          <c:tx>
            <c:strRef>
              <c:f>Feuil1!$D$21</c:f>
              <c:strCache>
                <c:ptCount val="1"/>
                <c:pt idx="0">
                  <c:v>Reste à rembourser</c:v>
                </c:pt>
              </c:strCache>
            </c:strRef>
          </c:tx>
          <c:spPr>
            <a:solidFill>
              <a:schemeClr val="accent3"/>
            </a:solidFill>
            <a:ln>
              <a:noFill/>
            </a:ln>
            <a:effectLst/>
          </c:spPr>
          <c:invertIfNegative val="0"/>
          <c:dLbls>
            <c:dLbl>
              <c:idx val="1"/>
              <c:layout>
                <c:manualLayout>
                  <c:x val="0"/>
                  <c:y val="-0.1691542288557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3D-457F-AB52-7BEA86893F42}"/>
                </c:ext>
              </c:extLst>
            </c:dLbl>
            <c:dLbl>
              <c:idx val="2"/>
              <c:layout>
                <c:manualLayout>
                  <c:x val="3.6111111111111059E-2"/>
                  <c:y val="-0.144278606965174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3D-457F-AB52-7BEA86893F42}"/>
                </c:ext>
              </c:extLst>
            </c:dLbl>
            <c:dLbl>
              <c:idx val="3"/>
              <c:layout>
                <c:manualLayout>
                  <c:x val="3.4722222222222113E-2"/>
                  <c:y val="-0.1343283582089553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FF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6.1444444444444433E-2"/>
                      <c:h val="0.11932855407999371"/>
                    </c:manualLayout>
                  </c15:layout>
                </c:ext>
                <c:ext xmlns:c16="http://schemas.microsoft.com/office/drawing/2014/chart" uri="{C3380CC4-5D6E-409C-BE32-E72D297353CC}">
                  <c16:uniqueId val="{00000004-083D-457F-AB52-7BEA86893F42}"/>
                </c:ext>
              </c:extLst>
            </c:dLbl>
            <c:dLbl>
              <c:idx val="4"/>
              <c:layout>
                <c:manualLayout>
                  <c:x val="0"/>
                  <c:y val="-0.149253731343283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3D-457F-AB52-7BEA86893F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Feuil1!$A$22:$A$30</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Feuil1!$D$22:$D$30</c:f>
              <c:numCache>
                <c:formatCode>General</c:formatCode>
                <c:ptCount val="8"/>
                <c:pt idx="0">
                  <c:v>0</c:v>
                </c:pt>
                <c:pt idx="1">
                  <c:v>253</c:v>
                </c:pt>
                <c:pt idx="2">
                  <c:v>574</c:v>
                </c:pt>
                <c:pt idx="3">
                  <c:v>26</c:v>
                </c:pt>
                <c:pt idx="4">
                  <c:v>267</c:v>
                </c:pt>
                <c:pt idx="5">
                  <c:v>0</c:v>
                </c:pt>
                <c:pt idx="6">
                  <c:v>0</c:v>
                </c:pt>
                <c:pt idx="7">
                  <c:v>0</c:v>
                </c:pt>
              </c:numCache>
            </c:numRef>
          </c:val>
          <c:extLst>
            <c:ext xmlns:c16="http://schemas.microsoft.com/office/drawing/2014/chart" uri="{C3380CC4-5D6E-409C-BE32-E72D297353CC}">
              <c16:uniqueId val="{00000006-083D-457F-AB52-7BEA86893F42}"/>
            </c:ext>
          </c:extLst>
        </c:ser>
        <c:dLbls>
          <c:showLegendKey val="0"/>
          <c:showVal val="0"/>
          <c:showCatName val="0"/>
          <c:showSerName val="0"/>
          <c:showPercent val="0"/>
          <c:showBubbleSize val="0"/>
        </c:dLbls>
        <c:gapWidth val="219"/>
        <c:overlap val="-27"/>
        <c:axId val="663152520"/>
        <c:axId val="663160064"/>
      </c:barChart>
      <c:catAx>
        <c:axId val="66315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63160064"/>
        <c:crosses val="autoZero"/>
        <c:auto val="1"/>
        <c:lblAlgn val="ctr"/>
        <c:lblOffset val="100"/>
        <c:noMultiLvlLbl val="0"/>
      </c:catAx>
      <c:valAx>
        <c:axId val="663160064"/>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6315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Durée d'autoconsommation</a:t>
            </a:r>
            <a:r>
              <a:rPr lang="fr-FR" sz="1000" b="1" baseline="0">
                <a:solidFill>
                  <a:sysClr val="windowText" lastClr="000000"/>
                </a:solidFill>
                <a:latin typeface="Arial" panose="020B0604020202020204" pitchFamily="34" charset="0"/>
                <a:cs typeface="Arial" panose="020B0604020202020204" pitchFamily="34" charset="0"/>
              </a:rPr>
              <a:t> 1ère cession par Région</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radarChart>
        <c:radarStyle val="marker"/>
        <c:varyColors val="0"/>
        <c:ser>
          <c:idx val="0"/>
          <c:order val="0"/>
          <c:tx>
            <c:strRef>
              <c:f>Feuil7!$A$91</c:f>
              <c:strCache>
                <c:ptCount val="1"/>
                <c:pt idx="0">
                  <c:v>Maradi</c:v>
                </c:pt>
              </c:strCache>
            </c:strRef>
          </c:tx>
          <c:spPr>
            <a:ln w="28575" cap="rnd">
              <a:solidFill>
                <a:schemeClr val="accent1"/>
              </a:solidFill>
              <a:round/>
            </a:ln>
            <a:effectLst/>
          </c:spPr>
          <c:marker>
            <c:symbol val="none"/>
          </c:marker>
          <c:cat>
            <c:strRef>
              <c:f>Feuil7!$B$89:$F$90</c:f>
              <c:strCache>
                <c:ptCount val="5"/>
                <c:pt idx="0">
                  <c:v>1 Semaine</c:v>
                </c:pt>
                <c:pt idx="1">
                  <c:v>2 Semaines</c:v>
                </c:pt>
                <c:pt idx="2">
                  <c:v>3 Semaines</c:v>
                </c:pt>
                <c:pt idx="3">
                  <c:v>1 Mois</c:v>
                </c:pt>
                <c:pt idx="4">
                  <c:v>Plus de 1 mois</c:v>
                </c:pt>
              </c:strCache>
            </c:strRef>
          </c:cat>
          <c:val>
            <c:numRef>
              <c:f>Feuil7!$B$91:$F$91</c:f>
              <c:numCache>
                <c:formatCode>0%</c:formatCode>
                <c:ptCount val="5"/>
                <c:pt idx="0">
                  <c:v>0.55000000000000004</c:v>
                </c:pt>
                <c:pt idx="1">
                  <c:v>0.41</c:v>
                </c:pt>
                <c:pt idx="2">
                  <c:v>0.2</c:v>
                </c:pt>
                <c:pt idx="3">
                  <c:v>0.14000000000000001</c:v>
                </c:pt>
                <c:pt idx="4">
                  <c:v>0.17</c:v>
                </c:pt>
              </c:numCache>
            </c:numRef>
          </c:val>
          <c:extLst>
            <c:ext xmlns:c16="http://schemas.microsoft.com/office/drawing/2014/chart" uri="{C3380CC4-5D6E-409C-BE32-E72D297353CC}">
              <c16:uniqueId val="{00000000-0288-4D0C-AEE7-EC79704D283F}"/>
            </c:ext>
          </c:extLst>
        </c:ser>
        <c:ser>
          <c:idx val="1"/>
          <c:order val="1"/>
          <c:tx>
            <c:strRef>
              <c:f>Feuil7!$A$92</c:f>
              <c:strCache>
                <c:ptCount val="1"/>
                <c:pt idx="0">
                  <c:v>Tahoua</c:v>
                </c:pt>
              </c:strCache>
            </c:strRef>
          </c:tx>
          <c:spPr>
            <a:ln w="28575" cap="rnd">
              <a:solidFill>
                <a:schemeClr val="accent2"/>
              </a:solidFill>
              <a:round/>
            </a:ln>
            <a:effectLst/>
          </c:spPr>
          <c:marker>
            <c:symbol val="none"/>
          </c:marker>
          <c:cat>
            <c:strRef>
              <c:f>Feuil7!$B$89:$F$90</c:f>
              <c:strCache>
                <c:ptCount val="5"/>
                <c:pt idx="0">
                  <c:v>1 Semaine</c:v>
                </c:pt>
                <c:pt idx="1">
                  <c:v>2 Semaines</c:v>
                </c:pt>
                <c:pt idx="2">
                  <c:v>3 Semaines</c:v>
                </c:pt>
                <c:pt idx="3">
                  <c:v>1 Mois</c:v>
                </c:pt>
                <c:pt idx="4">
                  <c:v>Plus de 1 mois</c:v>
                </c:pt>
              </c:strCache>
            </c:strRef>
          </c:cat>
          <c:val>
            <c:numRef>
              <c:f>Feuil7!$B$92:$F$92</c:f>
              <c:numCache>
                <c:formatCode>0%</c:formatCode>
                <c:ptCount val="5"/>
                <c:pt idx="0">
                  <c:v>0.25</c:v>
                </c:pt>
                <c:pt idx="1">
                  <c:v>0.27</c:v>
                </c:pt>
                <c:pt idx="2">
                  <c:v>0.41</c:v>
                </c:pt>
                <c:pt idx="3">
                  <c:v>0.34</c:v>
                </c:pt>
                <c:pt idx="4">
                  <c:v>0.83</c:v>
                </c:pt>
              </c:numCache>
            </c:numRef>
          </c:val>
          <c:extLst>
            <c:ext xmlns:c16="http://schemas.microsoft.com/office/drawing/2014/chart" uri="{C3380CC4-5D6E-409C-BE32-E72D297353CC}">
              <c16:uniqueId val="{00000001-0288-4D0C-AEE7-EC79704D283F}"/>
            </c:ext>
          </c:extLst>
        </c:ser>
        <c:ser>
          <c:idx val="2"/>
          <c:order val="2"/>
          <c:tx>
            <c:strRef>
              <c:f>Feuil7!$A$93</c:f>
              <c:strCache>
                <c:ptCount val="1"/>
                <c:pt idx="0">
                  <c:v>Zinder</c:v>
                </c:pt>
              </c:strCache>
            </c:strRef>
          </c:tx>
          <c:spPr>
            <a:ln w="28575" cap="rnd">
              <a:solidFill>
                <a:schemeClr val="accent3"/>
              </a:solidFill>
              <a:round/>
            </a:ln>
            <a:effectLst/>
          </c:spPr>
          <c:marker>
            <c:symbol val="none"/>
          </c:marker>
          <c:cat>
            <c:strRef>
              <c:f>Feuil7!$B$89:$F$90</c:f>
              <c:strCache>
                <c:ptCount val="5"/>
                <c:pt idx="0">
                  <c:v>1 Semaine</c:v>
                </c:pt>
                <c:pt idx="1">
                  <c:v>2 Semaines</c:v>
                </c:pt>
                <c:pt idx="2">
                  <c:v>3 Semaines</c:v>
                </c:pt>
                <c:pt idx="3">
                  <c:v>1 Mois</c:v>
                </c:pt>
                <c:pt idx="4">
                  <c:v>Plus de 1 mois</c:v>
                </c:pt>
              </c:strCache>
            </c:strRef>
          </c:cat>
          <c:val>
            <c:numRef>
              <c:f>Feuil7!$B$93:$F$93</c:f>
              <c:numCache>
                <c:formatCode>0%</c:formatCode>
                <c:ptCount val="5"/>
                <c:pt idx="0">
                  <c:v>0.2</c:v>
                </c:pt>
                <c:pt idx="1">
                  <c:v>0.32</c:v>
                </c:pt>
                <c:pt idx="2">
                  <c:v>0.39</c:v>
                </c:pt>
                <c:pt idx="3">
                  <c:v>0.52</c:v>
                </c:pt>
                <c:pt idx="4">
                  <c:v>0</c:v>
                </c:pt>
              </c:numCache>
            </c:numRef>
          </c:val>
          <c:extLst>
            <c:ext xmlns:c16="http://schemas.microsoft.com/office/drawing/2014/chart" uri="{C3380CC4-5D6E-409C-BE32-E72D297353CC}">
              <c16:uniqueId val="{00000002-0288-4D0C-AEE7-EC79704D283F}"/>
            </c:ext>
          </c:extLst>
        </c:ser>
        <c:dLbls>
          <c:showLegendKey val="0"/>
          <c:showVal val="0"/>
          <c:showCatName val="0"/>
          <c:showSerName val="0"/>
          <c:showPercent val="0"/>
          <c:showBubbleSize val="0"/>
        </c:dLbls>
        <c:axId val="505006296"/>
        <c:axId val="505011872"/>
      </c:radarChart>
      <c:catAx>
        <c:axId val="50500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5011872"/>
        <c:crosses val="autoZero"/>
        <c:auto val="1"/>
        <c:lblAlgn val="ctr"/>
        <c:lblOffset val="100"/>
        <c:noMultiLvlLbl val="0"/>
      </c:catAx>
      <c:valAx>
        <c:axId val="50501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5006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a:t>Durée d'autoconsommation 1ère cession par PDE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Feuil7!$B$77</c:f>
              <c:strCache>
                <c:ptCount val="1"/>
                <c:pt idx="0">
                  <c:v>1 Semaine </c:v>
                </c:pt>
              </c:strCache>
            </c:strRef>
          </c:tx>
          <c:spPr>
            <a:solidFill>
              <a:schemeClr val="accent1"/>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27-40CC-936E-92A059F91B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Feuil7!$A$78:$A$85</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Feuil7!$B$78:$B$85</c:f>
              <c:numCache>
                <c:formatCode>0%</c:formatCode>
                <c:ptCount val="8"/>
                <c:pt idx="0">
                  <c:v>0.20449999999999999</c:v>
                </c:pt>
                <c:pt idx="1">
                  <c:v>9.0899999999999995E-2</c:v>
                </c:pt>
                <c:pt idx="2">
                  <c:v>6.8199999999999997E-2</c:v>
                </c:pt>
                <c:pt idx="3">
                  <c:v>0.20449999999999999</c:v>
                </c:pt>
                <c:pt idx="4">
                  <c:v>4.5499999999999999E-2</c:v>
                </c:pt>
                <c:pt idx="5">
                  <c:v>0</c:v>
                </c:pt>
                <c:pt idx="6">
                  <c:v>0.34089999999999998</c:v>
                </c:pt>
                <c:pt idx="7">
                  <c:v>4.5499999999999999E-2</c:v>
                </c:pt>
              </c:numCache>
            </c:numRef>
          </c:val>
          <c:extLst>
            <c:ext xmlns:c16="http://schemas.microsoft.com/office/drawing/2014/chart" uri="{C3380CC4-5D6E-409C-BE32-E72D297353CC}">
              <c16:uniqueId val="{00000000-9A27-40CC-936E-92A059F91B6E}"/>
            </c:ext>
          </c:extLst>
        </c:ser>
        <c:ser>
          <c:idx val="1"/>
          <c:order val="1"/>
          <c:tx>
            <c:strRef>
              <c:f>Feuil7!$C$77</c:f>
              <c:strCache>
                <c:ptCount val="1"/>
                <c:pt idx="0">
                  <c:v>2 Semaines</c:v>
                </c:pt>
              </c:strCache>
            </c:strRef>
          </c:tx>
          <c:spPr>
            <a:solidFill>
              <a:schemeClr val="accent2"/>
            </a:solidFill>
            <a:ln>
              <a:noFill/>
            </a:ln>
            <a:effectLst/>
          </c:spPr>
          <c:invertIfNegative val="0"/>
          <c:dLbls>
            <c:dLbl>
              <c:idx val="6"/>
              <c:layout>
                <c:manualLayout>
                  <c:x val="5.277777777777788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27-40CC-936E-92A059F91B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Feuil7!$A$78:$A$85</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Feuil7!$C$78:$C$85</c:f>
              <c:numCache>
                <c:formatCode>0%</c:formatCode>
                <c:ptCount val="8"/>
                <c:pt idx="0">
                  <c:v>0.1477</c:v>
                </c:pt>
                <c:pt idx="1">
                  <c:v>3.4099999999999998E-2</c:v>
                </c:pt>
                <c:pt idx="2">
                  <c:v>0.17050000000000001</c:v>
                </c:pt>
                <c:pt idx="3">
                  <c:v>0.13639999999999999</c:v>
                </c:pt>
                <c:pt idx="4">
                  <c:v>0.11360000000000001</c:v>
                </c:pt>
                <c:pt idx="5">
                  <c:v>4.5499999999999999E-2</c:v>
                </c:pt>
                <c:pt idx="6">
                  <c:v>0.2727</c:v>
                </c:pt>
                <c:pt idx="7">
                  <c:v>7.9500000000000001E-2</c:v>
                </c:pt>
              </c:numCache>
            </c:numRef>
          </c:val>
          <c:extLst>
            <c:ext xmlns:c16="http://schemas.microsoft.com/office/drawing/2014/chart" uri="{C3380CC4-5D6E-409C-BE32-E72D297353CC}">
              <c16:uniqueId val="{00000001-9A27-40CC-936E-92A059F91B6E}"/>
            </c:ext>
          </c:extLst>
        </c:ser>
        <c:ser>
          <c:idx val="2"/>
          <c:order val="2"/>
          <c:tx>
            <c:strRef>
              <c:f>Feuil7!$D$77</c:f>
              <c:strCache>
                <c:ptCount val="1"/>
                <c:pt idx="0">
                  <c:v>3 Semaines</c:v>
                </c:pt>
              </c:strCache>
            </c:strRef>
          </c:tx>
          <c:spPr>
            <a:solidFill>
              <a:schemeClr val="accent3"/>
            </a:solidFill>
            <a:ln>
              <a:noFill/>
            </a:ln>
            <a:effectLst/>
          </c:spPr>
          <c:invertIfNegative val="0"/>
          <c:dLbls>
            <c:dLbl>
              <c:idx val="2"/>
              <c:layout>
                <c:manualLayout>
                  <c:x val="-4.166666666666666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27-40CC-936E-92A059F91B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Feuil7!$A$78:$A$85</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Feuil7!$D$78:$D$85</c:f>
              <c:numCache>
                <c:formatCode>0%</c:formatCode>
                <c:ptCount val="8"/>
                <c:pt idx="0">
                  <c:v>0.1951</c:v>
                </c:pt>
                <c:pt idx="1">
                  <c:v>9.7600000000000006E-2</c:v>
                </c:pt>
                <c:pt idx="2">
                  <c:v>0.2195</c:v>
                </c:pt>
                <c:pt idx="3">
                  <c:v>0.122</c:v>
                </c:pt>
                <c:pt idx="4">
                  <c:v>7.3200000000000001E-2</c:v>
                </c:pt>
                <c:pt idx="5">
                  <c:v>0.14630000000000001</c:v>
                </c:pt>
                <c:pt idx="6">
                  <c:v>7.3200000000000001E-2</c:v>
                </c:pt>
                <c:pt idx="7">
                  <c:v>7.3200000000000001E-2</c:v>
                </c:pt>
              </c:numCache>
            </c:numRef>
          </c:val>
          <c:extLst>
            <c:ext xmlns:c16="http://schemas.microsoft.com/office/drawing/2014/chart" uri="{C3380CC4-5D6E-409C-BE32-E72D297353CC}">
              <c16:uniqueId val="{00000002-9A27-40CC-936E-92A059F91B6E}"/>
            </c:ext>
          </c:extLst>
        </c:ser>
        <c:ser>
          <c:idx val="3"/>
          <c:order val="3"/>
          <c:tx>
            <c:strRef>
              <c:f>Feuil7!$E$77</c:f>
              <c:strCache>
                <c:ptCount val="1"/>
                <c:pt idx="0">
                  <c:v>1 Mois</c:v>
                </c:pt>
              </c:strCache>
            </c:strRef>
          </c:tx>
          <c:spPr>
            <a:solidFill>
              <a:schemeClr val="accent4"/>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27-40CC-936E-92A059F91B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Feuil7!$A$78:$A$85</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Feuil7!$E$78:$E$85</c:f>
              <c:numCache>
                <c:formatCode>0%</c:formatCode>
                <c:ptCount val="8"/>
                <c:pt idx="0">
                  <c:v>0.08</c:v>
                </c:pt>
                <c:pt idx="1">
                  <c:v>0.18</c:v>
                </c:pt>
                <c:pt idx="2">
                  <c:v>0.26</c:v>
                </c:pt>
                <c:pt idx="3">
                  <c:v>0.08</c:v>
                </c:pt>
                <c:pt idx="4">
                  <c:v>0.08</c:v>
                </c:pt>
                <c:pt idx="5">
                  <c:v>0.12</c:v>
                </c:pt>
                <c:pt idx="6">
                  <c:v>0.06</c:v>
                </c:pt>
                <c:pt idx="7">
                  <c:v>0.14000000000000001</c:v>
                </c:pt>
              </c:numCache>
            </c:numRef>
          </c:val>
          <c:extLst>
            <c:ext xmlns:c16="http://schemas.microsoft.com/office/drawing/2014/chart" uri="{C3380CC4-5D6E-409C-BE32-E72D297353CC}">
              <c16:uniqueId val="{00000003-9A27-40CC-936E-92A059F91B6E}"/>
            </c:ext>
          </c:extLst>
        </c:ser>
        <c:ser>
          <c:idx val="4"/>
          <c:order val="4"/>
          <c:tx>
            <c:strRef>
              <c:f>Feuil7!$F$77</c:f>
              <c:strCache>
                <c:ptCount val="1"/>
                <c:pt idx="0">
                  <c:v>Plus de 1 mois</c:v>
                </c:pt>
              </c:strCache>
            </c:strRef>
          </c:tx>
          <c:spPr>
            <a:solidFill>
              <a:schemeClr val="accent6">
                <a:lumMod val="75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27-40CC-936E-92A059F91B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Feuil7!$A$78:$A$85</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Feuil7!$F$78:$F$85</c:f>
              <c:numCache>
                <c:formatCode>0%</c:formatCode>
                <c:ptCount val="8"/>
                <c:pt idx="0">
                  <c:v>0.5</c:v>
                </c:pt>
                <c:pt idx="1">
                  <c:v>0</c:v>
                </c:pt>
                <c:pt idx="2">
                  <c:v>0</c:v>
                </c:pt>
                <c:pt idx="3">
                  <c:v>0</c:v>
                </c:pt>
                <c:pt idx="4">
                  <c:v>0</c:v>
                </c:pt>
                <c:pt idx="5">
                  <c:v>0.16669999999999999</c:v>
                </c:pt>
                <c:pt idx="6">
                  <c:v>0.16669999999999999</c:v>
                </c:pt>
                <c:pt idx="7">
                  <c:v>0.16669999999999999</c:v>
                </c:pt>
              </c:numCache>
            </c:numRef>
          </c:val>
          <c:extLst>
            <c:ext xmlns:c16="http://schemas.microsoft.com/office/drawing/2014/chart" uri="{C3380CC4-5D6E-409C-BE32-E72D297353CC}">
              <c16:uniqueId val="{00000004-9A27-40CC-936E-92A059F91B6E}"/>
            </c:ext>
          </c:extLst>
        </c:ser>
        <c:dLbls>
          <c:showLegendKey val="0"/>
          <c:showVal val="0"/>
          <c:showCatName val="0"/>
          <c:showSerName val="0"/>
          <c:showPercent val="0"/>
          <c:showBubbleSize val="0"/>
        </c:dLbls>
        <c:gapWidth val="219"/>
        <c:overlap val="-27"/>
        <c:axId val="503344376"/>
        <c:axId val="503348312"/>
      </c:barChart>
      <c:catAx>
        <c:axId val="50334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03348312"/>
        <c:crosses val="autoZero"/>
        <c:auto val="1"/>
        <c:lblAlgn val="ctr"/>
        <c:lblOffset val="100"/>
        <c:noMultiLvlLbl val="0"/>
      </c:catAx>
      <c:valAx>
        <c:axId val="503348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334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Durée d'autoconsommation 2è cession par Région</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radarChart>
        <c:radarStyle val="marker"/>
        <c:varyColors val="0"/>
        <c:ser>
          <c:idx val="0"/>
          <c:order val="0"/>
          <c:tx>
            <c:strRef>
              <c:f>Feuil7!$A$111</c:f>
              <c:strCache>
                <c:ptCount val="1"/>
                <c:pt idx="0">
                  <c:v>Maradi</c:v>
                </c:pt>
              </c:strCache>
            </c:strRef>
          </c:tx>
          <c:spPr>
            <a:ln w="28575" cap="rnd">
              <a:solidFill>
                <a:schemeClr val="accent1"/>
              </a:solidFill>
              <a:round/>
            </a:ln>
            <a:effectLst/>
          </c:spPr>
          <c:marker>
            <c:symbol val="none"/>
          </c:marker>
          <c:cat>
            <c:strRef>
              <c:f>Feuil7!$B$110:$F$110</c:f>
              <c:strCache>
                <c:ptCount val="5"/>
                <c:pt idx="0">
                  <c:v>1 semaine</c:v>
                </c:pt>
                <c:pt idx="1">
                  <c:v>2 semaines</c:v>
                </c:pt>
                <c:pt idx="2">
                  <c:v>3 semaines</c:v>
                </c:pt>
                <c:pt idx="3">
                  <c:v>1 mois</c:v>
                </c:pt>
                <c:pt idx="4">
                  <c:v>Plus 1 mois</c:v>
                </c:pt>
              </c:strCache>
            </c:strRef>
          </c:cat>
          <c:val>
            <c:numRef>
              <c:f>Feuil7!$B$111:$F$111</c:f>
              <c:numCache>
                <c:formatCode>0%</c:formatCode>
                <c:ptCount val="5"/>
                <c:pt idx="0">
                  <c:v>0.25530000000000003</c:v>
                </c:pt>
                <c:pt idx="1">
                  <c:v>0.41889999999999999</c:v>
                </c:pt>
                <c:pt idx="2">
                  <c:v>0.55169999999999997</c:v>
                </c:pt>
                <c:pt idx="3">
                  <c:v>0.19439999999999999</c:v>
                </c:pt>
                <c:pt idx="4">
                  <c:v>0.33329999999999999</c:v>
                </c:pt>
              </c:numCache>
            </c:numRef>
          </c:val>
          <c:extLst>
            <c:ext xmlns:c16="http://schemas.microsoft.com/office/drawing/2014/chart" uri="{C3380CC4-5D6E-409C-BE32-E72D297353CC}">
              <c16:uniqueId val="{00000000-A8F3-409E-AA2F-84D5AEC0FCDF}"/>
            </c:ext>
          </c:extLst>
        </c:ser>
        <c:ser>
          <c:idx val="1"/>
          <c:order val="1"/>
          <c:tx>
            <c:strRef>
              <c:f>Feuil7!$A$112</c:f>
              <c:strCache>
                <c:ptCount val="1"/>
                <c:pt idx="0">
                  <c:v>Tahoua</c:v>
                </c:pt>
              </c:strCache>
            </c:strRef>
          </c:tx>
          <c:spPr>
            <a:ln w="28575" cap="rnd">
              <a:solidFill>
                <a:schemeClr val="accent2"/>
              </a:solidFill>
              <a:round/>
            </a:ln>
            <a:effectLst/>
          </c:spPr>
          <c:marker>
            <c:symbol val="none"/>
          </c:marker>
          <c:cat>
            <c:strRef>
              <c:f>Feuil7!$B$110:$F$110</c:f>
              <c:strCache>
                <c:ptCount val="5"/>
                <c:pt idx="0">
                  <c:v>1 semaine</c:v>
                </c:pt>
                <c:pt idx="1">
                  <c:v>2 semaines</c:v>
                </c:pt>
                <c:pt idx="2">
                  <c:v>3 semaines</c:v>
                </c:pt>
                <c:pt idx="3">
                  <c:v>1 mois</c:v>
                </c:pt>
                <c:pt idx="4">
                  <c:v>Plus 1 mois</c:v>
                </c:pt>
              </c:strCache>
            </c:strRef>
          </c:cat>
          <c:val>
            <c:numRef>
              <c:f>Feuil7!$B$112:$F$112</c:f>
              <c:numCache>
                <c:formatCode>0%</c:formatCode>
                <c:ptCount val="5"/>
                <c:pt idx="0">
                  <c:v>0.41489999999999999</c:v>
                </c:pt>
                <c:pt idx="1">
                  <c:v>0.40539999999999998</c:v>
                </c:pt>
                <c:pt idx="2">
                  <c:v>0.10340000000000001</c:v>
                </c:pt>
                <c:pt idx="3">
                  <c:v>0.1111</c:v>
                </c:pt>
                <c:pt idx="4">
                  <c:v>0.66669999999999996</c:v>
                </c:pt>
              </c:numCache>
            </c:numRef>
          </c:val>
          <c:extLst>
            <c:ext xmlns:c16="http://schemas.microsoft.com/office/drawing/2014/chart" uri="{C3380CC4-5D6E-409C-BE32-E72D297353CC}">
              <c16:uniqueId val="{00000001-A8F3-409E-AA2F-84D5AEC0FCDF}"/>
            </c:ext>
          </c:extLst>
        </c:ser>
        <c:ser>
          <c:idx val="2"/>
          <c:order val="2"/>
          <c:tx>
            <c:strRef>
              <c:f>Feuil7!$A$113</c:f>
              <c:strCache>
                <c:ptCount val="1"/>
                <c:pt idx="0">
                  <c:v>Zinder</c:v>
                </c:pt>
              </c:strCache>
            </c:strRef>
          </c:tx>
          <c:spPr>
            <a:ln w="28575" cap="rnd">
              <a:solidFill>
                <a:schemeClr val="accent3"/>
              </a:solidFill>
              <a:round/>
            </a:ln>
            <a:effectLst/>
          </c:spPr>
          <c:marker>
            <c:symbol val="none"/>
          </c:marker>
          <c:cat>
            <c:strRef>
              <c:f>Feuil7!$B$110:$F$110</c:f>
              <c:strCache>
                <c:ptCount val="5"/>
                <c:pt idx="0">
                  <c:v>1 semaine</c:v>
                </c:pt>
                <c:pt idx="1">
                  <c:v>2 semaines</c:v>
                </c:pt>
                <c:pt idx="2">
                  <c:v>3 semaines</c:v>
                </c:pt>
                <c:pt idx="3">
                  <c:v>1 mois</c:v>
                </c:pt>
                <c:pt idx="4">
                  <c:v>Plus 1 mois</c:v>
                </c:pt>
              </c:strCache>
            </c:strRef>
          </c:cat>
          <c:val>
            <c:numRef>
              <c:f>Feuil7!$B$113:$F$113</c:f>
              <c:numCache>
                <c:formatCode>0%</c:formatCode>
                <c:ptCount val="5"/>
                <c:pt idx="0">
                  <c:v>0.32979999999999998</c:v>
                </c:pt>
                <c:pt idx="1">
                  <c:v>0.1757</c:v>
                </c:pt>
                <c:pt idx="2">
                  <c:v>0.3448</c:v>
                </c:pt>
                <c:pt idx="3">
                  <c:v>0.69440000000000002</c:v>
                </c:pt>
                <c:pt idx="4">
                  <c:v>0</c:v>
                </c:pt>
              </c:numCache>
            </c:numRef>
          </c:val>
          <c:extLst>
            <c:ext xmlns:c16="http://schemas.microsoft.com/office/drawing/2014/chart" uri="{C3380CC4-5D6E-409C-BE32-E72D297353CC}">
              <c16:uniqueId val="{00000002-A8F3-409E-AA2F-84D5AEC0FCDF}"/>
            </c:ext>
          </c:extLst>
        </c:ser>
        <c:dLbls>
          <c:showLegendKey val="0"/>
          <c:showVal val="0"/>
          <c:showCatName val="0"/>
          <c:showSerName val="0"/>
          <c:showPercent val="0"/>
          <c:showBubbleSize val="0"/>
        </c:dLbls>
        <c:axId val="443772464"/>
        <c:axId val="443772792"/>
      </c:radarChart>
      <c:catAx>
        <c:axId val="44377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43772792"/>
        <c:crosses val="autoZero"/>
        <c:auto val="1"/>
        <c:lblAlgn val="ctr"/>
        <c:lblOffset val="100"/>
        <c:noMultiLvlLbl val="0"/>
      </c:catAx>
      <c:valAx>
        <c:axId val="443772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43772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Durrée d'autoconsommation 2è cession par PDE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Feuil7!$B$98</c:f>
              <c:strCache>
                <c:ptCount val="1"/>
                <c:pt idx="0">
                  <c:v>1 semaine</c:v>
                </c:pt>
              </c:strCache>
            </c:strRef>
          </c:tx>
          <c:spPr>
            <a:solidFill>
              <a:schemeClr val="accent1"/>
            </a:solidFill>
            <a:ln>
              <a:noFill/>
            </a:ln>
            <a:effectLst/>
          </c:spPr>
          <c:invertIfNegative val="0"/>
          <c:cat>
            <c:strRef>
              <c:f>Feuil7!$A$99:$A$106</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Feuil7!$B$99:$B$106</c:f>
              <c:numCache>
                <c:formatCode>0%</c:formatCode>
                <c:ptCount val="8"/>
                <c:pt idx="0">
                  <c:v>0.25530000000000003</c:v>
                </c:pt>
                <c:pt idx="1">
                  <c:v>0.11700000000000001</c:v>
                </c:pt>
                <c:pt idx="2">
                  <c:v>0.13830000000000001</c:v>
                </c:pt>
                <c:pt idx="3">
                  <c:v>8.5099999999999995E-2</c:v>
                </c:pt>
                <c:pt idx="4">
                  <c:v>7.4499999999999997E-2</c:v>
                </c:pt>
                <c:pt idx="5">
                  <c:v>3.1899999999999998E-2</c:v>
                </c:pt>
                <c:pt idx="6">
                  <c:v>0.17019999999999999</c:v>
                </c:pt>
                <c:pt idx="7">
                  <c:v>0.12770000000000001</c:v>
                </c:pt>
              </c:numCache>
            </c:numRef>
          </c:val>
          <c:extLst>
            <c:ext xmlns:c16="http://schemas.microsoft.com/office/drawing/2014/chart" uri="{C3380CC4-5D6E-409C-BE32-E72D297353CC}">
              <c16:uniqueId val="{00000000-6C78-4D89-9F0A-0FD7AAA9AD3B}"/>
            </c:ext>
          </c:extLst>
        </c:ser>
        <c:ser>
          <c:idx val="1"/>
          <c:order val="1"/>
          <c:tx>
            <c:strRef>
              <c:f>Feuil7!$C$98</c:f>
              <c:strCache>
                <c:ptCount val="1"/>
                <c:pt idx="0">
                  <c:v>2 semaines</c:v>
                </c:pt>
              </c:strCache>
            </c:strRef>
          </c:tx>
          <c:spPr>
            <a:solidFill>
              <a:schemeClr val="accent2"/>
            </a:solidFill>
            <a:ln>
              <a:noFill/>
            </a:ln>
            <a:effectLst/>
          </c:spPr>
          <c:invertIfNegative val="0"/>
          <c:cat>
            <c:strRef>
              <c:f>Feuil7!$A$99:$A$106</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Feuil7!$C$99:$C$106</c:f>
              <c:numCache>
                <c:formatCode>0%</c:formatCode>
                <c:ptCount val="8"/>
                <c:pt idx="0">
                  <c:v>0.16220000000000001</c:v>
                </c:pt>
                <c:pt idx="1">
                  <c:v>2.7E-2</c:v>
                </c:pt>
                <c:pt idx="2">
                  <c:v>9.4600000000000004E-2</c:v>
                </c:pt>
                <c:pt idx="3">
                  <c:v>0.16220000000000001</c:v>
                </c:pt>
                <c:pt idx="4">
                  <c:v>5.4100000000000002E-2</c:v>
                </c:pt>
                <c:pt idx="5">
                  <c:v>0.16220000000000001</c:v>
                </c:pt>
                <c:pt idx="6">
                  <c:v>0.25679999999999997</c:v>
                </c:pt>
                <c:pt idx="7">
                  <c:v>8.1100000000000005E-2</c:v>
                </c:pt>
              </c:numCache>
            </c:numRef>
          </c:val>
          <c:extLst>
            <c:ext xmlns:c16="http://schemas.microsoft.com/office/drawing/2014/chart" uri="{C3380CC4-5D6E-409C-BE32-E72D297353CC}">
              <c16:uniqueId val="{00000001-6C78-4D89-9F0A-0FD7AAA9AD3B}"/>
            </c:ext>
          </c:extLst>
        </c:ser>
        <c:ser>
          <c:idx val="2"/>
          <c:order val="2"/>
          <c:tx>
            <c:strRef>
              <c:f>Feuil7!$D$98</c:f>
              <c:strCache>
                <c:ptCount val="1"/>
                <c:pt idx="0">
                  <c:v>3 semaines</c:v>
                </c:pt>
              </c:strCache>
            </c:strRef>
          </c:tx>
          <c:spPr>
            <a:solidFill>
              <a:schemeClr val="accent3"/>
            </a:solidFill>
            <a:ln>
              <a:noFill/>
            </a:ln>
            <a:effectLst/>
          </c:spPr>
          <c:invertIfNegative val="0"/>
          <c:cat>
            <c:strRef>
              <c:f>Feuil7!$A$99:$A$106</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Feuil7!$D$99:$D$106</c:f>
              <c:numCache>
                <c:formatCode>0%</c:formatCode>
                <c:ptCount val="8"/>
                <c:pt idx="0">
                  <c:v>3.4500000000000003E-2</c:v>
                </c:pt>
                <c:pt idx="1">
                  <c:v>0</c:v>
                </c:pt>
                <c:pt idx="2">
                  <c:v>0.2414</c:v>
                </c:pt>
                <c:pt idx="3">
                  <c:v>0.1724</c:v>
                </c:pt>
                <c:pt idx="4">
                  <c:v>0.10340000000000001</c:v>
                </c:pt>
                <c:pt idx="5">
                  <c:v>3.4500000000000003E-2</c:v>
                </c:pt>
                <c:pt idx="6">
                  <c:v>0.37930000000000003</c:v>
                </c:pt>
                <c:pt idx="7">
                  <c:v>3.4500000000000003E-2</c:v>
                </c:pt>
              </c:numCache>
            </c:numRef>
          </c:val>
          <c:extLst>
            <c:ext xmlns:c16="http://schemas.microsoft.com/office/drawing/2014/chart" uri="{C3380CC4-5D6E-409C-BE32-E72D297353CC}">
              <c16:uniqueId val="{00000002-6C78-4D89-9F0A-0FD7AAA9AD3B}"/>
            </c:ext>
          </c:extLst>
        </c:ser>
        <c:ser>
          <c:idx val="3"/>
          <c:order val="3"/>
          <c:tx>
            <c:strRef>
              <c:f>Feuil7!$E$98</c:f>
              <c:strCache>
                <c:ptCount val="1"/>
                <c:pt idx="0">
                  <c:v>1 mois</c:v>
                </c:pt>
              </c:strCache>
            </c:strRef>
          </c:tx>
          <c:spPr>
            <a:solidFill>
              <a:schemeClr val="accent4"/>
            </a:solidFill>
            <a:ln>
              <a:noFill/>
            </a:ln>
            <a:effectLst/>
          </c:spPr>
          <c:invertIfNegative val="0"/>
          <c:cat>
            <c:strRef>
              <c:f>Feuil7!$A$99:$A$106</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Feuil7!$E$99:$E$106</c:f>
              <c:numCache>
                <c:formatCode>0%</c:formatCode>
                <c:ptCount val="8"/>
                <c:pt idx="0">
                  <c:v>8.3299999999999999E-2</c:v>
                </c:pt>
                <c:pt idx="1">
                  <c:v>0.19439999999999999</c:v>
                </c:pt>
                <c:pt idx="2">
                  <c:v>0.36109999999999998</c:v>
                </c:pt>
                <c:pt idx="3">
                  <c:v>0.1389</c:v>
                </c:pt>
                <c:pt idx="4">
                  <c:v>0.1389</c:v>
                </c:pt>
                <c:pt idx="5">
                  <c:v>2.7799999999999998E-2</c:v>
                </c:pt>
                <c:pt idx="6">
                  <c:v>5.5599999999999997E-2</c:v>
                </c:pt>
                <c:pt idx="7">
                  <c:v>0</c:v>
                </c:pt>
              </c:numCache>
            </c:numRef>
          </c:val>
          <c:extLst>
            <c:ext xmlns:c16="http://schemas.microsoft.com/office/drawing/2014/chart" uri="{C3380CC4-5D6E-409C-BE32-E72D297353CC}">
              <c16:uniqueId val="{00000003-6C78-4D89-9F0A-0FD7AAA9AD3B}"/>
            </c:ext>
          </c:extLst>
        </c:ser>
        <c:ser>
          <c:idx val="4"/>
          <c:order val="4"/>
          <c:tx>
            <c:strRef>
              <c:f>Feuil7!$F$98</c:f>
              <c:strCache>
                <c:ptCount val="1"/>
                <c:pt idx="0">
                  <c:v>Plus 1 mois</c:v>
                </c:pt>
              </c:strCache>
            </c:strRef>
          </c:tx>
          <c:spPr>
            <a:solidFill>
              <a:srgbClr val="00B050"/>
            </a:solidFill>
            <a:ln>
              <a:noFill/>
            </a:ln>
            <a:effectLst/>
          </c:spPr>
          <c:invertIfNegative val="0"/>
          <c:cat>
            <c:strRef>
              <c:f>Feuil7!$A$99:$A$106</c:f>
              <c:strCache>
                <c:ptCount val="8"/>
                <c:pt idx="0">
                  <c:v>Badaguichiri</c:v>
                </c:pt>
                <c:pt idx="1">
                  <c:v>Bande</c:v>
                </c:pt>
                <c:pt idx="2">
                  <c:v>Doungou</c:v>
                </c:pt>
                <c:pt idx="3">
                  <c:v>Guidan_Roumdji</c:v>
                </c:pt>
                <c:pt idx="4">
                  <c:v>Guidimouni</c:v>
                </c:pt>
                <c:pt idx="5">
                  <c:v>Karofane</c:v>
                </c:pt>
                <c:pt idx="6">
                  <c:v>Tessaoua</c:v>
                </c:pt>
                <c:pt idx="7">
                  <c:v>Tounfafi</c:v>
                </c:pt>
              </c:strCache>
            </c:strRef>
          </c:cat>
          <c:val>
            <c:numRef>
              <c:f>Feuil7!$F$99:$F$106</c:f>
              <c:numCache>
                <c:formatCode>0%</c:formatCode>
                <c:ptCount val="8"/>
                <c:pt idx="0">
                  <c:v>0.16669999999999999</c:v>
                </c:pt>
                <c:pt idx="1">
                  <c:v>0</c:v>
                </c:pt>
                <c:pt idx="2">
                  <c:v>0</c:v>
                </c:pt>
                <c:pt idx="3">
                  <c:v>0</c:v>
                </c:pt>
                <c:pt idx="4">
                  <c:v>0</c:v>
                </c:pt>
                <c:pt idx="5">
                  <c:v>0.16669999999999999</c:v>
                </c:pt>
                <c:pt idx="6">
                  <c:v>0.33329999999999999</c:v>
                </c:pt>
                <c:pt idx="7">
                  <c:v>0.33329999999999999</c:v>
                </c:pt>
              </c:numCache>
            </c:numRef>
          </c:val>
          <c:extLst>
            <c:ext xmlns:c16="http://schemas.microsoft.com/office/drawing/2014/chart" uri="{C3380CC4-5D6E-409C-BE32-E72D297353CC}">
              <c16:uniqueId val="{00000004-6C78-4D89-9F0A-0FD7AAA9AD3B}"/>
            </c:ext>
          </c:extLst>
        </c:ser>
        <c:dLbls>
          <c:showLegendKey val="0"/>
          <c:showVal val="0"/>
          <c:showCatName val="0"/>
          <c:showSerName val="0"/>
          <c:showPercent val="0"/>
          <c:showBubbleSize val="0"/>
        </c:dLbls>
        <c:gapWidth val="219"/>
        <c:overlap val="-27"/>
        <c:axId val="505014496"/>
        <c:axId val="505013512"/>
      </c:barChart>
      <c:catAx>
        <c:axId val="50501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5013512"/>
        <c:crosses val="autoZero"/>
        <c:auto val="1"/>
        <c:lblAlgn val="ctr"/>
        <c:lblOffset val="100"/>
        <c:noMultiLvlLbl val="0"/>
      </c:catAx>
      <c:valAx>
        <c:axId val="505013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501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Réduction période de soudure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Feuil7!$C$1</c:f>
              <c:strCache>
                <c:ptCount val="1"/>
                <c:pt idx="0">
                  <c:v>Proportion %</c:v>
                </c:pt>
              </c:strCache>
            </c:strRef>
          </c:tx>
          <c:spPr>
            <a:solidFill>
              <a:schemeClr val="accent1"/>
            </a:solidFill>
            <a:ln>
              <a:noFill/>
            </a:ln>
            <a:effectLst/>
          </c:spPr>
          <c:invertIfNegative val="0"/>
          <c:dPt>
            <c:idx val="0"/>
            <c:invertIfNegative val="0"/>
            <c:bubble3D val="0"/>
            <c:spPr>
              <a:solidFill>
                <a:srgbClr val="1F497D">
                  <a:lumMod val="40000"/>
                  <a:lumOff val="60000"/>
                </a:srgbClr>
              </a:solidFill>
              <a:ln>
                <a:noFill/>
              </a:ln>
              <a:effectLst/>
            </c:spPr>
            <c:extLst>
              <c:ext xmlns:c16="http://schemas.microsoft.com/office/drawing/2014/chart" uri="{C3380CC4-5D6E-409C-BE32-E72D297353CC}">
                <c16:uniqueId val="{00000001-576F-4E8D-8C9E-4F61D064D5AC}"/>
              </c:ext>
            </c:extLst>
          </c:dPt>
          <c:dPt>
            <c:idx val="1"/>
            <c:invertIfNegative val="0"/>
            <c:bubble3D val="0"/>
            <c:spPr>
              <a:solidFill>
                <a:srgbClr val="F79646">
                  <a:lumMod val="40000"/>
                  <a:lumOff val="60000"/>
                </a:srgbClr>
              </a:solidFill>
              <a:ln>
                <a:noFill/>
              </a:ln>
              <a:effectLst/>
            </c:spPr>
            <c:extLst>
              <c:ext xmlns:c16="http://schemas.microsoft.com/office/drawing/2014/chart" uri="{C3380CC4-5D6E-409C-BE32-E72D297353CC}">
                <c16:uniqueId val="{00000003-576F-4E8D-8C9E-4F61D064D5AC}"/>
              </c:ext>
            </c:extLst>
          </c:dPt>
          <c:dPt>
            <c:idx val="2"/>
            <c:invertIfNegative val="0"/>
            <c:bubble3D val="0"/>
            <c:spPr>
              <a:solidFill>
                <a:srgbClr val="9BBB59">
                  <a:lumMod val="75000"/>
                </a:srgbClr>
              </a:solidFill>
              <a:ln>
                <a:noFill/>
              </a:ln>
              <a:effectLst/>
            </c:spPr>
            <c:extLst>
              <c:ext xmlns:c16="http://schemas.microsoft.com/office/drawing/2014/chart" uri="{C3380CC4-5D6E-409C-BE32-E72D297353CC}">
                <c16:uniqueId val="{00000005-576F-4E8D-8C9E-4F61D064D5A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F-4E8D-8C9E-4F61D064D5A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6F-4E8D-8C9E-4F61D064D5A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6F-4E8D-8C9E-4F61D064D5A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Feuil7!$A$2:$A$13</c:f>
              <c:strCache>
                <c:ptCount val="3"/>
                <c:pt idx="0">
                  <c:v>Maradi</c:v>
                </c:pt>
                <c:pt idx="1">
                  <c:v>Tahoua</c:v>
                </c:pt>
                <c:pt idx="2">
                  <c:v>Zinder</c:v>
                </c:pt>
              </c:strCache>
            </c:strRef>
          </c:cat>
          <c:val>
            <c:numRef>
              <c:f>Feuil7!$C$2:$C$13</c:f>
              <c:numCache>
                <c:formatCode>0%</c:formatCode>
                <c:ptCount val="3"/>
                <c:pt idx="0">
                  <c:v>0.32571428571428573</c:v>
                </c:pt>
                <c:pt idx="1">
                  <c:v>0.41142857142857142</c:v>
                </c:pt>
                <c:pt idx="2">
                  <c:v>0.26285714285714284</c:v>
                </c:pt>
              </c:numCache>
            </c:numRef>
          </c:val>
          <c:extLst>
            <c:ext xmlns:c16="http://schemas.microsoft.com/office/drawing/2014/chart" uri="{C3380CC4-5D6E-409C-BE32-E72D297353CC}">
              <c16:uniqueId val="{00000006-576F-4E8D-8C9E-4F61D064D5AC}"/>
            </c:ext>
          </c:extLst>
        </c:ser>
        <c:dLbls>
          <c:showLegendKey val="0"/>
          <c:showVal val="0"/>
          <c:showCatName val="0"/>
          <c:showSerName val="0"/>
          <c:showPercent val="0"/>
          <c:showBubbleSize val="0"/>
        </c:dLbls>
        <c:gapWidth val="219"/>
        <c:overlap val="-27"/>
        <c:axId val="533505808"/>
        <c:axId val="533507120"/>
      </c:barChart>
      <c:catAx>
        <c:axId val="53350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3507120"/>
        <c:crosses val="autoZero"/>
        <c:auto val="1"/>
        <c:lblAlgn val="ctr"/>
        <c:lblOffset val="100"/>
        <c:noMultiLvlLbl val="0"/>
      </c:catAx>
      <c:valAx>
        <c:axId val="533507120"/>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350580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Arial" panose="020B0604020202020204" pitchFamily="34" charset="0"/>
                <a:cs typeface="Arial" panose="020B0604020202020204" pitchFamily="34" charset="0"/>
              </a:rPr>
              <a:t>Recours à la main d'oeuvre </a:t>
            </a:r>
            <a:r>
              <a:rPr lang="en-US" sz="1000" b="1" baseline="0">
                <a:solidFill>
                  <a:sysClr val="windowText" lastClr="000000"/>
                </a:solidFill>
                <a:latin typeface="Arial" panose="020B0604020202020204" pitchFamily="34" charset="0"/>
                <a:cs typeface="Arial" panose="020B0604020202020204" pitchFamily="34" charset="0"/>
              </a:rPr>
              <a:t>agricole avant GFS/Région</a:t>
            </a:r>
            <a:endParaRPr lang="en-US"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Feuil2!$B$21</c:f>
              <c:strCache>
                <c:ptCount val="1"/>
                <c:pt idx="0">
                  <c:v>Moy. Actif agricole/Menage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Feuil2!$A$22:$A$33</c:f>
              <c:strCache>
                <c:ptCount val="4"/>
                <c:pt idx="0">
                  <c:v>Maradi</c:v>
                </c:pt>
                <c:pt idx="1">
                  <c:v>Tahoua</c:v>
                </c:pt>
                <c:pt idx="2">
                  <c:v>Zinder</c:v>
                </c:pt>
                <c:pt idx="3">
                  <c:v>Total général</c:v>
                </c:pt>
              </c:strCache>
            </c:strRef>
          </c:cat>
          <c:val>
            <c:numRef>
              <c:f>Feuil2!$B$22:$B$33</c:f>
              <c:numCache>
                <c:formatCode>General</c:formatCode>
                <c:ptCount val="4"/>
                <c:pt idx="0">
                  <c:v>5</c:v>
                </c:pt>
                <c:pt idx="1">
                  <c:v>3</c:v>
                </c:pt>
                <c:pt idx="2">
                  <c:v>3</c:v>
                </c:pt>
                <c:pt idx="3">
                  <c:v>4</c:v>
                </c:pt>
              </c:numCache>
            </c:numRef>
          </c:val>
          <c:extLst>
            <c:ext xmlns:c16="http://schemas.microsoft.com/office/drawing/2014/chart" uri="{C3380CC4-5D6E-409C-BE32-E72D297353CC}">
              <c16:uniqueId val="{00000000-DDF0-4C32-9A64-FC6414FDEAA4}"/>
            </c:ext>
          </c:extLst>
        </c:ser>
        <c:ser>
          <c:idx val="1"/>
          <c:order val="1"/>
          <c:tx>
            <c:strRef>
              <c:f>Feuil2!$C$21</c:f>
              <c:strCache>
                <c:ptCount val="1"/>
                <c:pt idx="0">
                  <c:v>Moy. Actif agricole mobilisé pour la main d'œuvre agricole avant GFS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Feuil2!$A$22:$A$33</c:f>
              <c:strCache>
                <c:ptCount val="4"/>
                <c:pt idx="0">
                  <c:v>Maradi</c:v>
                </c:pt>
                <c:pt idx="1">
                  <c:v>Tahoua</c:v>
                </c:pt>
                <c:pt idx="2">
                  <c:v>Zinder</c:v>
                </c:pt>
                <c:pt idx="3">
                  <c:v>Total général</c:v>
                </c:pt>
              </c:strCache>
            </c:strRef>
          </c:cat>
          <c:val>
            <c:numRef>
              <c:f>Feuil2!$C$22:$C$33</c:f>
              <c:numCache>
                <c:formatCode>General</c:formatCode>
                <c:ptCount val="4"/>
                <c:pt idx="0">
                  <c:v>4</c:v>
                </c:pt>
                <c:pt idx="1">
                  <c:v>2</c:v>
                </c:pt>
                <c:pt idx="2">
                  <c:v>3</c:v>
                </c:pt>
                <c:pt idx="3">
                  <c:v>3</c:v>
                </c:pt>
              </c:numCache>
            </c:numRef>
          </c:val>
          <c:extLst>
            <c:ext xmlns:c16="http://schemas.microsoft.com/office/drawing/2014/chart" uri="{C3380CC4-5D6E-409C-BE32-E72D297353CC}">
              <c16:uniqueId val="{00000001-DDF0-4C32-9A64-FC6414FDEAA4}"/>
            </c:ext>
          </c:extLst>
        </c:ser>
        <c:dLbls>
          <c:showLegendKey val="0"/>
          <c:showVal val="0"/>
          <c:showCatName val="0"/>
          <c:showSerName val="0"/>
          <c:showPercent val="0"/>
          <c:showBubbleSize val="0"/>
        </c:dLbls>
        <c:gapWidth val="219"/>
        <c:overlap val="-27"/>
        <c:axId val="548516368"/>
        <c:axId val="548510464"/>
      </c:barChart>
      <c:lineChart>
        <c:grouping val="standard"/>
        <c:varyColors val="0"/>
        <c:ser>
          <c:idx val="2"/>
          <c:order val="2"/>
          <c:tx>
            <c:strRef>
              <c:f>Feuil2!$D$21</c:f>
              <c:strCache>
                <c:ptCount val="1"/>
                <c:pt idx="0">
                  <c:v>Proportion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Feuil2!$A$22:$A$33</c:f>
              <c:strCache>
                <c:ptCount val="4"/>
                <c:pt idx="0">
                  <c:v>Maradi</c:v>
                </c:pt>
                <c:pt idx="1">
                  <c:v>Tahoua</c:v>
                </c:pt>
                <c:pt idx="2">
                  <c:v>Zinder</c:v>
                </c:pt>
                <c:pt idx="3">
                  <c:v>Total général</c:v>
                </c:pt>
              </c:strCache>
            </c:strRef>
          </c:cat>
          <c:val>
            <c:numRef>
              <c:f>Feuil2!$D$22:$D$33</c:f>
              <c:numCache>
                <c:formatCode>0%</c:formatCode>
                <c:ptCount val="4"/>
                <c:pt idx="0">
                  <c:v>0.8</c:v>
                </c:pt>
                <c:pt idx="1">
                  <c:v>0.66666666666666663</c:v>
                </c:pt>
                <c:pt idx="2">
                  <c:v>1</c:v>
                </c:pt>
                <c:pt idx="3">
                  <c:v>0.75</c:v>
                </c:pt>
              </c:numCache>
            </c:numRef>
          </c:val>
          <c:smooth val="0"/>
          <c:extLst>
            <c:ext xmlns:c16="http://schemas.microsoft.com/office/drawing/2014/chart" uri="{C3380CC4-5D6E-409C-BE32-E72D297353CC}">
              <c16:uniqueId val="{00000002-DDF0-4C32-9A64-FC6414FDEAA4}"/>
            </c:ext>
          </c:extLst>
        </c:ser>
        <c:dLbls>
          <c:showLegendKey val="0"/>
          <c:showVal val="0"/>
          <c:showCatName val="0"/>
          <c:showSerName val="0"/>
          <c:showPercent val="0"/>
          <c:showBubbleSize val="0"/>
        </c:dLbls>
        <c:marker val="1"/>
        <c:smooth val="0"/>
        <c:axId val="548516368"/>
        <c:axId val="548510464"/>
      </c:lineChart>
      <c:catAx>
        <c:axId val="54851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8510464"/>
        <c:crosses val="autoZero"/>
        <c:auto val="1"/>
        <c:lblAlgn val="ctr"/>
        <c:lblOffset val="100"/>
        <c:noMultiLvlLbl val="0"/>
      </c:catAx>
      <c:valAx>
        <c:axId val="54851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85163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solidFill>
                  <a:sysClr val="windowText" lastClr="000000"/>
                </a:solidFill>
                <a:latin typeface="Arial" panose="020B0604020202020204" pitchFamily="34" charset="0"/>
                <a:cs typeface="Arial" panose="020B0604020202020204" pitchFamily="34" charset="0"/>
              </a:rPr>
              <a:t>Nombre membre GFS par Région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D889-42EF-8545-15E351EBEFFF}"/>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D889-42EF-8545-15E351EBEFFF}"/>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D889-42EF-8545-15E351EBEFFF}"/>
              </c:ext>
            </c:extLst>
          </c:dPt>
          <c:dLbls>
            <c:dLbl>
              <c:idx val="0"/>
              <c:layout>
                <c:manualLayout>
                  <c:x val="-2.5462668816039986E-17"/>
                  <c:y val="0.2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89-42EF-8545-15E351EBEFFF}"/>
                </c:ext>
              </c:extLst>
            </c:dLbl>
            <c:dLbl>
              <c:idx val="1"/>
              <c:layout>
                <c:manualLayout>
                  <c:x val="0"/>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89-42EF-8545-15E351EBEFFF}"/>
                </c:ext>
              </c:extLst>
            </c:dLbl>
            <c:dLbl>
              <c:idx val="2"/>
              <c:layout>
                <c:manualLayout>
                  <c:x val="-1.0185067526415994E-16"/>
                  <c:y val="0.231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89-42EF-8545-15E351EBEFF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Feuil1!$A$107:$A$109</c:f>
              <c:strCache>
                <c:ptCount val="3"/>
                <c:pt idx="0">
                  <c:v>Maradi</c:v>
                </c:pt>
                <c:pt idx="1">
                  <c:v>Tahoua</c:v>
                </c:pt>
                <c:pt idx="2">
                  <c:v>Zinder</c:v>
                </c:pt>
              </c:strCache>
            </c:strRef>
          </c:cat>
          <c:val>
            <c:numRef>
              <c:f>Feuil1!$B$107:$B$109</c:f>
              <c:numCache>
                <c:formatCode>General</c:formatCode>
                <c:ptCount val="3"/>
                <c:pt idx="0">
                  <c:v>1640</c:v>
                </c:pt>
                <c:pt idx="1">
                  <c:v>878</c:v>
                </c:pt>
                <c:pt idx="2">
                  <c:v>1151</c:v>
                </c:pt>
              </c:numCache>
            </c:numRef>
          </c:val>
          <c:extLst>
            <c:ext xmlns:c16="http://schemas.microsoft.com/office/drawing/2014/chart" uri="{C3380CC4-5D6E-409C-BE32-E72D297353CC}">
              <c16:uniqueId val="{00000006-D889-42EF-8545-15E351EBEFFF}"/>
            </c:ext>
          </c:extLst>
        </c:ser>
        <c:dLbls>
          <c:showLegendKey val="0"/>
          <c:showVal val="0"/>
          <c:showCatName val="0"/>
          <c:showSerName val="0"/>
          <c:showPercent val="0"/>
          <c:showBubbleSize val="0"/>
        </c:dLbls>
        <c:gapWidth val="219"/>
        <c:overlap val="-27"/>
        <c:axId val="290132184"/>
        <c:axId val="290125624"/>
      </c:barChart>
      <c:lineChart>
        <c:grouping val="standard"/>
        <c:varyColors val="0"/>
        <c:ser>
          <c:idx val="1"/>
          <c:order val="1"/>
          <c:spPr>
            <a:ln w="28575" cap="rnd">
              <a:solidFill>
                <a:schemeClr val="accent2"/>
              </a:solidFill>
              <a:round/>
            </a:ln>
            <a:effectLst/>
          </c:spPr>
          <c:marker>
            <c:symbol val="none"/>
          </c:marker>
          <c:dLbls>
            <c:dLbl>
              <c:idx val="0"/>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89-42EF-8545-15E351EBEFFF}"/>
                </c:ext>
              </c:extLst>
            </c:dLbl>
            <c:dLbl>
              <c:idx val="1"/>
              <c:layout>
                <c:manualLayout>
                  <c:x val="-1.0185067526415994E-16"/>
                  <c:y val="-8.796296296296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89-42EF-8545-15E351EBEFFF}"/>
                </c:ext>
              </c:extLst>
            </c:dLbl>
            <c:dLbl>
              <c:idx val="2"/>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89-42EF-8545-15E351EBEFF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Feuil1!$A$107:$A$109</c:f>
              <c:strCache>
                <c:ptCount val="3"/>
                <c:pt idx="0">
                  <c:v>Maradi</c:v>
                </c:pt>
                <c:pt idx="1">
                  <c:v>Tahoua</c:v>
                </c:pt>
                <c:pt idx="2">
                  <c:v>Zinder</c:v>
                </c:pt>
              </c:strCache>
            </c:strRef>
          </c:cat>
          <c:val>
            <c:numRef>
              <c:f>Feuil1!$C$107:$C$109</c:f>
              <c:numCache>
                <c:formatCode>0%</c:formatCode>
                <c:ptCount val="3"/>
                <c:pt idx="0">
                  <c:v>0.4469882801853366</c:v>
                </c:pt>
                <c:pt idx="1">
                  <c:v>0.23930226219678385</c:v>
                </c:pt>
                <c:pt idx="2">
                  <c:v>0.31370945761787955</c:v>
                </c:pt>
              </c:numCache>
            </c:numRef>
          </c:val>
          <c:smooth val="0"/>
          <c:extLst>
            <c:ext xmlns:c16="http://schemas.microsoft.com/office/drawing/2014/chart" uri="{C3380CC4-5D6E-409C-BE32-E72D297353CC}">
              <c16:uniqueId val="{0000000A-D889-42EF-8545-15E351EBEFFF}"/>
            </c:ext>
          </c:extLst>
        </c:ser>
        <c:dLbls>
          <c:showLegendKey val="0"/>
          <c:showVal val="0"/>
          <c:showCatName val="0"/>
          <c:showSerName val="0"/>
          <c:showPercent val="0"/>
          <c:showBubbleSize val="0"/>
        </c:dLbls>
        <c:marker val="1"/>
        <c:smooth val="0"/>
        <c:axId val="508946440"/>
        <c:axId val="508947424"/>
      </c:lineChart>
      <c:catAx>
        <c:axId val="29013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90125624"/>
        <c:crosses val="autoZero"/>
        <c:auto val="1"/>
        <c:lblAlgn val="ctr"/>
        <c:lblOffset val="100"/>
        <c:noMultiLvlLbl val="0"/>
      </c:catAx>
      <c:valAx>
        <c:axId val="290125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90132184"/>
        <c:crosses val="autoZero"/>
        <c:crossBetween val="between"/>
      </c:valAx>
      <c:valAx>
        <c:axId val="5089474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8946440"/>
        <c:crosses val="max"/>
        <c:crossBetween val="between"/>
      </c:valAx>
      <c:catAx>
        <c:axId val="508946440"/>
        <c:scaling>
          <c:orientation val="minMax"/>
        </c:scaling>
        <c:delete val="1"/>
        <c:axPos val="b"/>
        <c:numFmt formatCode="General" sourceLinked="1"/>
        <c:majorTickMark val="out"/>
        <c:minorTickMark val="none"/>
        <c:tickLblPos val="nextTo"/>
        <c:crossAx val="5089474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ysClr val="windowText" lastClr="000000"/>
                </a:solidFill>
                <a:latin typeface="Arial" panose="020B0604020202020204" pitchFamily="34" charset="0"/>
                <a:cs typeface="Arial" panose="020B0604020202020204" pitchFamily="34" charset="0"/>
              </a:rPr>
              <a:t>Recours à la main d'oeuvre </a:t>
            </a:r>
            <a:r>
              <a:rPr lang="en-US" sz="1000" b="1" baseline="0">
                <a:solidFill>
                  <a:sysClr val="windowText" lastClr="000000"/>
                </a:solidFill>
                <a:latin typeface="Arial" panose="020B0604020202020204" pitchFamily="34" charset="0"/>
                <a:cs typeface="Arial" panose="020B0604020202020204" pitchFamily="34" charset="0"/>
              </a:rPr>
              <a:t>agricole avant GFS/PDE</a:t>
            </a:r>
            <a:endParaRPr lang="en-US"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Feuil2!$B$21</c:f>
              <c:strCache>
                <c:ptCount val="1"/>
                <c:pt idx="0">
                  <c:v>Moy. Actif agricole/Menage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Feuil2!$A$22:$A$33</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Feuil2!$B$22:$B$33</c:f>
              <c:numCache>
                <c:formatCode>General</c:formatCode>
                <c:ptCount val="8"/>
                <c:pt idx="0">
                  <c:v>5</c:v>
                </c:pt>
                <c:pt idx="1">
                  <c:v>5</c:v>
                </c:pt>
                <c:pt idx="2">
                  <c:v>3</c:v>
                </c:pt>
                <c:pt idx="3">
                  <c:v>4</c:v>
                </c:pt>
                <c:pt idx="4">
                  <c:v>3</c:v>
                </c:pt>
                <c:pt idx="5">
                  <c:v>3</c:v>
                </c:pt>
                <c:pt idx="6">
                  <c:v>4</c:v>
                </c:pt>
                <c:pt idx="7">
                  <c:v>3</c:v>
                </c:pt>
              </c:numCache>
            </c:numRef>
          </c:val>
          <c:extLst>
            <c:ext xmlns:c16="http://schemas.microsoft.com/office/drawing/2014/chart" uri="{C3380CC4-5D6E-409C-BE32-E72D297353CC}">
              <c16:uniqueId val="{00000000-857E-482E-A3DE-CA21E02E6AEC}"/>
            </c:ext>
          </c:extLst>
        </c:ser>
        <c:ser>
          <c:idx val="1"/>
          <c:order val="1"/>
          <c:tx>
            <c:strRef>
              <c:f>Feuil2!$C$21</c:f>
              <c:strCache>
                <c:ptCount val="1"/>
                <c:pt idx="0">
                  <c:v>Moy. Actif agricole mobilisé pour la main d'œuvre agricole avant GFS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Feuil2!$A$22:$A$33</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Feuil2!$C$22:$C$33</c:f>
              <c:numCache>
                <c:formatCode>General</c:formatCode>
                <c:ptCount val="8"/>
                <c:pt idx="0">
                  <c:v>4</c:v>
                </c:pt>
                <c:pt idx="1">
                  <c:v>3</c:v>
                </c:pt>
                <c:pt idx="2">
                  <c:v>2</c:v>
                </c:pt>
                <c:pt idx="3">
                  <c:v>3</c:v>
                </c:pt>
                <c:pt idx="4">
                  <c:v>2</c:v>
                </c:pt>
                <c:pt idx="5">
                  <c:v>2</c:v>
                </c:pt>
                <c:pt idx="6">
                  <c:v>3</c:v>
                </c:pt>
                <c:pt idx="7">
                  <c:v>2</c:v>
                </c:pt>
              </c:numCache>
            </c:numRef>
          </c:val>
          <c:extLst>
            <c:ext xmlns:c16="http://schemas.microsoft.com/office/drawing/2014/chart" uri="{C3380CC4-5D6E-409C-BE32-E72D297353CC}">
              <c16:uniqueId val="{00000001-857E-482E-A3DE-CA21E02E6AEC}"/>
            </c:ext>
          </c:extLst>
        </c:ser>
        <c:dLbls>
          <c:showLegendKey val="0"/>
          <c:showVal val="0"/>
          <c:showCatName val="0"/>
          <c:showSerName val="0"/>
          <c:showPercent val="0"/>
          <c:showBubbleSize val="0"/>
        </c:dLbls>
        <c:gapWidth val="219"/>
        <c:overlap val="-27"/>
        <c:axId val="548516368"/>
        <c:axId val="548510464"/>
      </c:barChart>
      <c:lineChart>
        <c:grouping val="standard"/>
        <c:varyColors val="0"/>
        <c:ser>
          <c:idx val="2"/>
          <c:order val="2"/>
          <c:tx>
            <c:strRef>
              <c:f>Feuil2!$D$21</c:f>
              <c:strCache>
                <c:ptCount val="1"/>
                <c:pt idx="0">
                  <c:v>Proportion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Feuil2!$A$22:$A$33</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Feuil2!$D$22:$D$33</c:f>
              <c:numCache>
                <c:formatCode>0%</c:formatCode>
                <c:ptCount val="8"/>
                <c:pt idx="0">
                  <c:v>0.8</c:v>
                </c:pt>
                <c:pt idx="1">
                  <c:v>0.6</c:v>
                </c:pt>
                <c:pt idx="2">
                  <c:v>0.66666666666666663</c:v>
                </c:pt>
                <c:pt idx="3">
                  <c:v>0.75</c:v>
                </c:pt>
                <c:pt idx="4">
                  <c:v>0.66666666666666663</c:v>
                </c:pt>
                <c:pt idx="5">
                  <c:v>0.66666666666666663</c:v>
                </c:pt>
                <c:pt idx="6">
                  <c:v>0.75</c:v>
                </c:pt>
                <c:pt idx="7">
                  <c:v>0.66666666666666663</c:v>
                </c:pt>
              </c:numCache>
            </c:numRef>
          </c:val>
          <c:smooth val="0"/>
          <c:extLst>
            <c:ext xmlns:c16="http://schemas.microsoft.com/office/drawing/2014/chart" uri="{C3380CC4-5D6E-409C-BE32-E72D297353CC}">
              <c16:uniqueId val="{00000002-857E-482E-A3DE-CA21E02E6AEC}"/>
            </c:ext>
          </c:extLst>
        </c:ser>
        <c:dLbls>
          <c:showLegendKey val="0"/>
          <c:showVal val="0"/>
          <c:showCatName val="0"/>
          <c:showSerName val="0"/>
          <c:showPercent val="0"/>
          <c:showBubbleSize val="0"/>
        </c:dLbls>
        <c:marker val="1"/>
        <c:smooth val="0"/>
        <c:axId val="548516368"/>
        <c:axId val="548510464"/>
      </c:lineChart>
      <c:catAx>
        <c:axId val="54851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8510464"/>
        <c:crosses val="autoZero"/>
        <c:auto val="1"/>
        <c:lblAlgn val="ctr"/>
        <c:lblOffset val="100"/>
        <c:noMultiLvlLbl val="0"/>
      </c:catAx>
      <c:valAx>
        <c:axId val="54851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85163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Nbre actifs agricoles mobilisés</a:t>
            </a:r>
            <a:r>
              <a:rPr lang="fr-FR" sz="1000" b="1" baseline="0">
                <a:solidFill>
                  <a:sysClr val="windowText" lastClr="000000"/>
                </a:solidFill>
                <a:latin typeface="Arial" panose="020B0604020202020204" pitchFamily="34" charset="0"/>
                <a:cs typeface="Arial" panose="020B0604020202020204" pitchFamily="34" charset="0"/>
              </a:rPr>
              <a:t> pour la vente de main d'oeuvre agricole avant et après GFS</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Feuil2!$B$40</c:f>
              <c:strCache>
                <c:ptCount val="1"/>
                <c:pt idx="0">
                  <c:v>Nbre actif agricole mobilisé pour la main d'œuvre agricole après GFS</c:v>
                </c:pt>
              </c:strCache>
            </c:strRef>
          </c:tx>
          <c:spPr>
            <a:solidFill>
              <a:schemeClr val="accent1"/>
            </a:solidFill>
            <a:ln>
              <a:noFill/>
            </a:ln>
            <a:effectLst/>
            <a:sp3d/>
          </c:spPr>
          <c:invertIfNegative val="0"/>
          <c:dLbls>
            <c:dLbl>
              <c:idx val="0"/>
              <c:layout>
                <c:manualLayout>
                  <c:x val="0"/>
                  <c:y val="-5.21512385919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2B-43AC-B505-15A5962A963B}"/>
                </c:ext>
              </c:extLst>
            </c:dLbl>
            <c:dLbl>
              <c:idx val="1"/>
              <c:layout>
                <c:manualLayout>
                  <c:x val="-4.9362201258882038E-17"/>
                  <c:y val="-5.6497175141242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2B-43AC-B505-15A5962A963B}"/>
                </c:ext>
              </c:extLst>
            </c:dLbl>
            <c:dLbl>
              <c:idx val="2"/>
              <c:layout>
                <c:manualLayout>
                  <c:x val="-2.6925148088315473E-3"/>
                  <c:y val="-5.6497175141243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2B-43AC-B505-15A5962A963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Feuil2!$A$41:$A$52</c:f>
              <c:strCache>
                <c:ptCount val="4"/>
                <c:pt idx="0">
                  <c:v>Maradi</c:v>
                </c:pt>
                <c:pt idx="1">
                  <c:v>Tahoua</c:v>
                </c:pt>
                <c:pt idx="2">
                  <c:v>Zinder</c:v>
                </c:pt>
                <c:pt idx="3">
                  <c:v>Total général</c:v>
                </c:pt>
              </c:strCache>
            </c:strRef>
          </c:cat>
          <c:val>
            <c:numRef>
              <c:f>Feuil2!$B$41:$B$52</c:f>
              <c:numCache>
                <c:formatCode>General</c:formatCode>
                <c:ptCount val="4"/>
                <c:pt idx="0">
                  <c:v>257</c:v>
                </c:pt>
                <c:pt idx="1">
                  <c:v>157</c:v>
                </c:pt>
                <c:pt idx="2">
                  <c:v>203</c:v>
                </c:pt>
                <c:pt idx="3">
                  <c:v>617</c:v>
                </c:pt>
              </c:numCache>
            </c:numRef>
          </c:val>
          <c:extLst>
            <c:ext xmlns:c16="http://schemas.microsoft.com/office/drawing/2014/chart" uri="{C3380CC4-5D6E-409C-BE32-E72D297353CC}">
              <c16:uniqueId val="{00000003-C12B-43AC-B505-15A5962A963B}"/>
            </c:ext>
          </c:extLst>
        </c:ser>
        <c:ser>
          <c:idx val="1"/>
          <c:order val="1"/>
          <c:tx>
            <c:strRef>
              <c:f>Feuil2!$C$40</c:f>
              <c:strCache>
                <c:ptCount val="1"/>
                <c:pt idx="0">
                  <c:v>Nbre actif agricole mobilisé pour la main d'œuvre agricole avant GFS</c:v>
                </c:pt>
              </c:strCache>
            </c:strRef>
          </c:tx>
          <c:spPr>
            <a:solidFill>
              <a:schemeClr val="accent2"/>
            </a:solidFill>
            <a:ln>
              <a:noFill/>
            </a:ln>
            <a:effectLst/>
            <a:sp3d/>
          </c:spPr>
          <c:invertIfNegative val="0"/>
          <c:dLbls>
            <c:dLbl>
              <c:idx val="0"/>
              <c:layout>
                <c:manualLayout>
                  <c:x val="3.5002692514808781E-2"/>
                  <c:y val="-2.6075619295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2B-43AC-B505-15A5962A963B}"/>
                </c:ext>
              </c:extLst>
            </c:dLbl>
            <c:dLbl>
              <c:idx val="1"/>
              <c:layout>
                <c:manualLayout>
                  <c:x val="3.5002692514808829E-2"/>
                  <c:y val="-2.6075619295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2B-43AC-B505-15A5962A963B}"/>
                </c:ext>
              </c:extLst>
            </c:dLbl>
            <c:dLbl>
              <c:idx val="2"/>
              <c:layout>
                <c:manualLayout>
                  <c:x val="3.2310177705977383E-2"/>
                  <c:y val="-3.4767492394611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2B-43AC-B505-15A5962A963B}"/>
                </c:ext>
              </c:extLst>
            </c:dLbl>
            <c:dLbl>
              <c:idx val="3"/>
              <c:layout>
                <c:manualLayout>
                  <c:x val="5.9235325794291867E-2"/>
                  <c:y val="-2.607561929595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2B-43AC-B505-15A5962A963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Feuil2!$A$41:$A$52</c:f>
              <c:strCache>
                <c:ptCount val="4"/>
                <c:pt idx="0">
                  <c:v>Maradi</c:v>
                </c:pt>
                <c:pt idx="1">
                  <c:v>Tahoua</c:v>
                </c:pt>
                <c:pt idx="2">
                  <c:v>Zinder</c:v>
                </c:pt>
                <c:pt idx="3">
                  <c:v>Total général</c:v>
                </c:pt>
              </c:strCache>
            </c:strRef>
          </c:cat>
          <c:val>
            <c:numRef>
              <c:f>Feuil2!$C$41:$C$52</c:f>
              <c:numCache>
                <c:formatCode>General</c:formatCode>
                <c:ptCount val="4"/>
                <c:pt idx="0">
                  <c:v>136</c:v>
                </c:pt>
                <c:pt idx="1">
                  <c:v>90</c:v>
                </c:pt>
                <c:pt idx="2">
                  <c:v>122</c:v>
                </c:pt>
                <c:pt idx="3">
                  <c:v>348</c:v>
                </c:pt>
              </c:numCache>
            </c:numRef>
          </c:val>
          <c:extLst>
            <c:ext xmlns:c16="http://schemas.microsoft.com/office/drawing/2014/chart" uri="{C3380CC4-5D6E-409C-BE32-E72D297353CC}">
              <c16:uniqueId val="{00000008-C12B-43AC-B505-15A5962A963B}"/>
            </c:ext>
          </c:extLst>
        </c:ser>
        <c:dLbls>
          <c:showLegendKey val="0"/>
          <c:showVal val="0"/>
          <c:showCatName val="0"/>
          <c:showSerName val="0"/>
          <c:showPercent val="0"/>
          <c:showBubbleSize val="0"/>
        </c:dLbls>
        <c:gapWidth val="150"/>
        <c:shape val="box"/>
        <c:axId val="496660064"/>
        <c:axId val="496656128"/>
        <c:axId val="0"/>
      </c:bar3DChart>
      <c:catAx>
        <c:axId val="496660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96656128"/>
        <c:crosses val="autoZero"/>
        <c:auto val="1"/>
        <c:lblAlgn val="ctr"/>
        <c:lblOffset val="100"/>
        <c:noMultiLvlLbl val="0"/>
      </c:catAx>
      <c:valAx>
        <c:axId val="49665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96660064"/>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Nbre</a:t>
            </a:r>
            <a:r>
              <a:rPr lang="fr-FR" sz="1000" b="1" baseline="0">
                <a:solidFill>
                  <a:sysClr val="windowText" lastClr="000000"/>
                </a:solidFill>
                <a:latin typeface="Arial" panose="020B0604020202020204" pitchFamily="34" charset="0"/>
                <a:cs typeface="Arial" panose="020B0604020202020204" pitchFamily="34" charset="0"/>
              </a:rPr>
              <a:t> de jour moyen consacré à la vente de main d'oeuvre agricole avant et après GFS/Région</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Feuil2!$B$62</c:f>
              <c:strCache>
                <c:ptCount val="1"/>
                <c:pt idx="0">
                  <c:v>Moy. Jour consacré avant GFS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Feuil2!$A$63:$A$74</c:f>
              <c:strCache>
                <c:ptCount val="4"/>
                <c:pt idx="0">
                  <c:v>Maradi</c:v>
                </c:pt>
                <c:pt idx="1">
                  <c:v>Tahoua</c:v>
                </c:pt>
                <c:pt idx="2">
                  <c:v>Zinder</c:v>
                </c:pt>
                <c:pt idx="3">
                  <c:v>Total général</c:v>
                </c:pt>
              </c:strCache>
            </c:strRef>
          </c:cat>
          <c:val>
            <c:numRef>
              <c:f>Feuil2!$B$63:$B$74</c:f>
              <c:numCache>
                <c:formatCode>General</c:formatCode>
                <c:ptCount val="4"/>
                <c:pt idx="0">
                  <c:v>28</c:v>
                </c:pt>
                <c:pt idx="1">
                  <c:v>18</c:v>
                </c:pt>
                <c:pt idx="2">
                  <c:v>17</c:v>
                </c:pt>
                <c:pt idx="3">
                  <c:v>21</c:v>
                </c:pt>
              </c:numCache>
            </c:numRef>
          </c:val>
          <c:extLst>
            <c:ext xmlns:c16="http://schemas.microsoft.com/office/drawing/2014/chart" uri="{C3380CC4-5D6E-409C-BE32-E72D297353CC}">
              <c16:uniqueId val="{00000000-223D-4CC6-8464-48B975D0E011}"/>
            </c:ext>
          </c:extLst>
        </c:ser>
        <c:ser>
          <c:idx val="1"/>
          <c:order val="1"/>
          <c:tx>
            <c:strRef>
              <c:f>Feuil2!$C$62</c:f>
              <c:strCache>
                <c:ptCount val="1"/>
                <c:pt idx="0">
                  <c:v>Moy. Jour consacré après GFS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Feuil2!$A$63:$A$74</c:f>
              <c:strCache>
                <c:ptCount val="4"/>
                <c:pt idx="0">
                  <c:v>Maradi</c:v>
                </c:pt>
                <c:pt idx="1">
                  <c:v>Tahoua</c:v>
                </c:pt>
                <c:pt idx="2">
                  <c:v>Zinder</c:v>
                </c:pt>
                <c:pt idx="3">
                  <c:v>Total général</c:v>
                </c:pt>
              </c:strCache>
            </c:strRef>
          </c:cat>
          <c:val>
            <c:numRef>
              <c:f>Feuil2!$C$63:$C$74</c:f>
              <c:numCache>
                <c:formatCode>General</c:formatCode>
                <c:ptCount val="4"/>
                <c:pt idx="0">
                  <c:v>18</c:v>
                </c:pt>
                <c:pt idx="1">
                  <c:v>26</c:v>
                </c:pt>
                <c:pt idx="2">
                  <c:v>23</c:v>
                </c:pt>
                <c:pt idx="3">
                  <c:v>23</c:v>
                </c:pt>
              </c:numCache>
            </c:numRef>
          </c:val>
          <c:extLst>
            <c:ext xmlns:c16="http://schemas.microsoft.com/office/drawing/2014/chart" uri="{C3380CC4-5D6E-409C-BE32-E72D297353CC}">
              <c16:uniqueId val="{00000001-223D-4CC6-8464-48B975D0E011}"/>
            </c:ext>
          </c:extLst>
        </c:ser>
        <c:dLbls>
          <c:dLblPos val="outEnd"/>
          <c:showLegendKey val="0"/>
          <c:showVal val="1"/>
          <c:showCatName val="0"/>
          <c:showSerName val="0"/>
          <c:showPercent val="0"/>
          <c:showBubbleSize val="0"/>
        </c:dLbls>
        <c:gapWidth val="219"/>
        <c:overlap val="-27"/>
        <c:axId val="575238888"/>
        <c:axId val="575235608"/>
      </c:barChart>
      <c:catAx>
        <c:axId val="57523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5235608"/>
        <c:crosses val="autoZero"/>
        <c:auto val="1"/>
        <c:lblAlgn val="ctr"/>
        <c:lblOffset val="100"/>
        <c:noMultiLvlLbl val="0"/>
      </c:catAx>
      <c:valAx>
        <c:axId val="57523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523888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Nbre</a:t>
            </a:r>
            <a:r>
              <a:rPr lang="fr-FR" sz="1000" b="1" baseline="0">
                <a:solidFill>
                  <a:sysClr val="windowText" lastClr="000000"/>
                </a:solidFill>
                <a:latin typeface="Arial" panose="020B0604020202020204" pitchFamily="34" charset="0"/>
                <a:cs typeface="Arial" panose="020B0604020202020204" pitchFamily="34" charset="0"/>
              </a:rPr>
              <a:t> de jour moyen consacré à la vente de main d'oeuvre agricole avant et après GFS/PDE</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Feuil2!$B$62</c:f>
              <c:strCache>
                <c:ptCount val="1"/>
                <c:pt idx="0">
                  <c:v>Moy. Jour consacré avant GFS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Feuil2!$A$63:$A$74</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Feuil2!$B$63:$B$74</c:f>
              <c:numCache>
                <c:formatCode>General</c:formatCode>
                <c:ptCount val="8"/>
                <c:pt idx="0">
                  <c:v>34</c:v>
                </c:pt>
                <c:pt idx="1">
                  <c:v>24</c:v>
                </c:pt>
                <c:pt idx="2">
                  <c:v>17</c:v>
                </c:pt>
                <c:pt idx="3">
                  <c:v>23</c:v>
                </c:pt>
                <c:pt idx="4">
                  <c:v>15</c:v>
                </c:pt>
                <c:pt idx="5">
                  <c:v>17</c:v>
                </c:pt>
                <c:pt idx="6">
                  <c:v>16</c:v>
                </c:pt>
                <c:pt idx="7">
                  <c:v>18</c:v>
                </c:pt>
              </c:numCache>
            </c:numRef>
          </c:val>
          <c:extLst>
            <c:ext xmlns:c16="http://schemas.microsoft.com/office/drawing/2014/chart" uri="{C3380CC4-5D6E-409C-BE32-E72D297353CC}">
              <c16:uniqueId val="{00000000-3339-4546-9ABD-66B6F80ACA8B}"/>
            </c:ext>
          </c:extLst>
        </c:ser>
        <c:ser>
          <c:idx val="1"/>
          <c:order val="1"/>
          <c:tx>
            <c:strRef>
              <c:f>Feuil2!$C$62</c:f>
              <c:strCache>
                <c:ptCount val="1"/>
                <c:pt idx="0">
                  <c:v>Moy. Jour consacré après GFS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Feuil2!$A$63:$A$74</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Feuil2!$C$63:$C$74</c:f>
              <c:numCache>
                <c:formatCode>General</c:formatCode>
                <c:ptCount val="8"/>
                <c:pt idx="0">
                  <c:v>22</c:v>
                </c:pt>
                <c:pt idx="1">
                  <c:v>15</c:v>
                </c:pt>
                <c:pt idx="2">
                  <c:v>19</c:v>
                </c:pt>
                <c:pt idx="3">
                  <c:v>36</c:v>
                </c:pt>
                <c:pt idx="4">
                  <c:v>25</c:v>
                </c:pt>
                <c:pt idx="5">
                  <c:v>26</c:v>
                </c:pt>
                <c:pt idx="6">
                  <c:v>22</c:v>
                </c:pt>
                <c:pt idx="7">
                  <c:v>24</c:v>
                </c:pt>
              </c:numCache>
            </c:numRef>
          </c:val>
          <c:extLst>
            <c:ext xmlns:c16="http://schemas.microsoft.com/office/drawing/2014/chart" uri="{C3380CC4-5D6E-409C-BE32-E72D297353CC}">
              <c16:uniqueId val="{00000001-3339-4546-9ABD-66B6F80ACA8B}"/>
            </c:ext>
          </c:extLst>
        </c:ser>
        <c:dLbls>
          <c:dLblPos val="outEnd"/>
          <c:showLegendKey val="0"/>
          <c:showVal val="1"/>
          <c:showCatName val="0"/>
          <c:showSerName val="0"/>
          <c:showPercent val="0"/>
          <c:showBubbleSize val="0"/>
        </c:dLbls>
        <c:gapWidth val="219"/>
        <c:overlap val="-27"/>
        <c:axId val="575238888"/>
        <c:axId val="575235608"/>
      </c:barChart>
      <c:catAx>
        <c:axId val="57523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5235608"/>
        <c:crosses val="autoZero"/>
        <c:auto val="1"/>
        <c:lblAlgn val="ctr"/>
        <c:lblOffset val="100"/>
        <c:noMultiLvlLbl val="0"/>
      </c:catAx>
      <c:valAx>
        <c:axId val="57523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523888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Taux d'augmentation nombre repas</a:t>
            </a:r>
            <a:r>
              <a:rPr lang="en-US" sz="1000" b="1" baseline="0">
                <a:solidFill>
                  <a:sysClr val="windowText" lastClr="000000"/>
                </a:solidFill>
                <a:latin typeface="Arial" panose="020B0604020202020204" pitchFamily="34" charset="0"/>
                <a:cs typeface="Arial" panose="020B0604020202020204" pitchFamily="34" charset="0"/>
              </a:rPr>
              <a:t> par </a:t>
            </a:r>
            <a:r>
              <a:rPr lang="en-US" sz="1000" b="1">
                <a:solidFill>
                  <a:sysClr val="windowText" lastClr="000000"/>
                </a:solidFill>
                <a:latin typeface="Arial" panose="020B0604020202020204" pitchFamily="34" charset="0"/>
                <a:cs typeface="Arial" panose="020B0604020202020204" pitchFamily="34" charset="0"/>
              </a:rPr>
              <a:t>jour/Région</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Feuil7!$C$57</c:f>
              <c:strCache>
                <c:ptCount val="1"/>
                <c:pt idx="0">
                  <c:v>Proportion %</c:v>
                </c:pt>
              </c:strCache>
            </c:strRef>
          </c:tx>
          <c:spPr>
            <a:solidFill>
              <a:schemeClr val="accent1"/>
            </a:solidFill>
            <a:ln>
              <a:noFill/>
            </a:ln>
            <a:effectLst/>
          </c:spPr>
          <c:invertIfNegative val="0"/>
          <c:dPt>
            <c:idx val="0"/>
            <c:invertIfNegative val="0"/>
            <c:bubble3D val="0"/>
            <c:spPr>
              <a:solidFill>
                <a:srgbClr val="1F497D">
                  <a:lumMod val="40000"/>
                  <a:lumOff val="60000"/>
                </a:srgbClr>
              </a:solidFill>
              <a:ln>
                <a:noFill/>
              </a:ln>
              <a:effectLst/>
            </c:spPr>
            <c:extLst>
              <c:ext xmlns:c16="http://schemas.microsoft.com/office/drawing/2014/chart" uri="{C3380CC4-5D6E-409C-BE32-E72D297353CC}">
                <c16:uniqueId val="{00000004-0CB0-4A2A-9F8F-05FA3ABF308A}"/>
              </c:ext>
            </c:extLst>
          </c:dPt>
          <c:dPt>
            <c:idx val="1"/>
            <c:invertIfNegative val="0"/>
            <c:bubble3D val="0"/>
            <c:spPr>
              <a:solidFill>
                <a:srgbClr val="F79646">
                  <a:lumMod val="60000"/>
                  <a:lumOff val="40000"/>
                </a:srgbClr>
              </a:solidFill>
              <a:ln>
                <a:noFill/>
              </a:ln>
              <a:effectLst/>
            </c:spPr>
            <c:extLst>
              <c:ext xmlns:c16="http://schemas.microsoft.com/office/drawing/2014/chart" uri="{C3380CC4-5D6E-409C-BE32-E72D297353CC}">
                <c16:uniqueId val="{00000003-0CB0-4A2A-9F8F-05FA3ABF308A}"/>
              </c:ext>
            </c:extLst>
          </c:dPt>
          <c:dPt>
            <c:idx val="2"/>
            <c:invertIfNegative val="0"/>
            <c:bubble3D val="0"/>
            <c:spPr>
              <a:solidFill>
                <a:srgbClr val="92D050"/>
              </a:solidFill>
              <a:ln>
                <a:noFill/>
              </a:ln>
              <a:effectLst/>
            </c:spPr>
            <c:extLst>
              <c:ext xmlns:c16="http://schemas.microsoft.com/office/drawing/2014/chart" uri="{C3380CC4-5D6E-409C-BE32-E72D297353CC}">
                <c16:uniqueId val="{00000002-0CB0-4A2A-9F8F-05FA3ABF308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Feuil7!$A$58:$A$69</c:f>
              <c:strCache>
                <c:ptCount val="3"/>
                <c:pt idx="0">
                  <c:v>Maradi</c:v>
                </c:pt>
                <c:pt idx="1">
                  <c:v>Tahoua</c:v>
                </c:pt>
                <c:pt idx="2">
                  <c:v>Zinder</c:v>
                </c:pt>
              </c:strCache>
            </c:strRef>
          </c:cat>
          <c:val>
            <c:numRef>
              <c:f>Feuil7!$C$58:$C$69</c:f>
              <c:numCache>
                <c:formatCode>0%</c:formatCode>
                <c:ptCount val="3"/>
                <c:pt idx="0">
                  <c:v>0.3125</c:v>
                </c:pt>
                <c:pt idx="1">
                  <c:v>0.40340909090909088</c:v>
                </c:pt>
                <c:pt idx="2">
                  <c:v>0.28409090909090912</c:v>
                </c:pt>
              </c:numCache>
            </c:numRef>
          </c:val>
          <c:extLst>
            <c:ext xmlns:c16="http://schemas.microsoft.com/office/drawing/2014/chart" uri="{C3380CC4-5D6E-409C-BE32-E72D297353CC}">
              <c16:uniqueId val="{00000000-0CB0-4A2A-9F8F-05FA3ABF308A}"/>
            </c:ext>
          </c:extLst>
        </c:ser>
        <c:dLbls>
          <c:showLegendKey val="0"/>
          <c:showVal val="0"/>
          <c:showCatName val="0"/>
          <c:showSerName val="0"/>
          <c:showPercent val="0"/>
          <c:showBubbleSize val="0"/>
        </c:dLbls>
        <c:gapWidth val="219"/>
        <c:overlap val="-27"/>
        <c:axId val="574805200"/>
        <c:axId val="574803232"/>
      </c:barChart>
      <c:catAx>
        <c:axId val="57480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4803232"/>
        <c:crosses val="autoZero"/>
        <c:auto val="1"/>
        <c:lblAlgn val="ctr"/>
        <c:lblOffset val="100"/>
        <c:noMultiLvlLbl val="0"/>
      </c:catAx>
      <c:valAx>
        <c:axId val="57480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4805200"/>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Augmentation</a:t>
            </a:r>
            <a:r>
              <a:rPr lang="fr-FR" sz="1000" b="1" baseline="0">
                <a:solidFill>
                  <a:sysClr val="windowText" lastClr="000000"/>
                </a:solidFill>
                <a:latin typeface="Arial" panose="020B0604020202020204" pitchFamily="34" charset="0"/>
                <a:cs typeface="Arial" panose="020B0604020202020204" pitchFamily="34" charset="0"/>
              </a:rPr>
              <a:t> de nombre de repas</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Feuil4!$A$125</c:f>
              <c:strCache>
                <c:ptCount val="1"/>
                <c:pt idx="0">
                  <c:v>Maradi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Feuil4!$B$124:$E$124</c:f>
              <c:strCache>
                <c:ptCount val="3"/>
                <c:pt idx="0">
                  <c:v>De 1 à 2 repas</c:v>
                </c:pt>
                <c:pt idx="1">
                  <c:v>De 1 à 3 repas</c:v>
                </c:pt>
                <c:pt idx="2">
                  <c:v>De 2 à 3 repas</c:v>
                </c:pt>
              </c:strCache>
            </c:strRef>
          </c:cat>
          <c:val>
            <c:numRef>
              <c:f>Feuil4!$B$125:$E$125</c:f>
              <c:numCache>
                <c:formatCode>0%</c:formatCode>
                <c:ptCount val="3"/>
                <c:pt idx="0">
                  <c:v>0.32098765432098764</c:v>
                </c:pt>
                <c:pt idx="1">
                  <c:v>0.33333333333333331</c:v>
                </c:pt>
                <c:pt idx="2">
                  <c:v>0.2</c:v>
                </c:pt>
              </c:numCache>
            </c:numRef>
          </c:val>
          <c:extLst>
            <c:ext xmlns:c16="http://schemas.microsoft.com/office/drawing/2014/chart" uri="{C3380CC4-5D6E-409C-BE32-E72D297353CC}">
              <c16:uniqueId val="{00000000-615A-440D-B70D-D9FF252B3BDD}"/>
            </c:ext>
          </c:extLst>
        </c:ser>
        <c:ser>
          <c:idx val="1"/>
          <c:order val="1"/>
          <c:tx>
            <c:strRef>
              <c:f>Feuil4!$A$126</c:f>
              <c:strCache>
                <c:ptCount val="1"/>
                <c:pt idx="0">
                  <c:v>Tahoua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Feuil4!$B$124:$E$124</c:f>
              <c:strCache>
                <c:ptCount val="3"/>
                <c:pt idx="0">
                  <c:v>De 1 à 2 repas</c:v>
                </c:pt>
                <c:pt idx="1">
                  <c:v>De 1 à 3 repas</c:v>
                </c:pt>
                <c:pt idx="2">
                  <c:v>De 2 à 3 repas</c:v>
                </c:pt>
              </c:strCache>
            </c:strRef>
          </c:cat>
          <c:val>
            <c:numRef>
              <c:f>Feuil4!$B$126:$E$126</c:f>
              <c:numCache>
                <c:formatCode>0%</c:formatCode>
                <c:ptCount val="3"/>
                <c:pt idx="0">
                  <c:v>0.34567901234567899</c:v>
                </c:pt>
                <c:pt idx="1">
                  <c:v>0.50617283950617287</c:v>
                </c:pt>
                <c:pt idx="2">
                  <c:v>0.13333333333333333</c:v>
                </c:pt>
              </c:numCache>
            </c:numRef>
          </c:val>
          <c:extLst>
            <c:ext xmlns:c16="http://schemas.microsoft.com/office/drawing/2014/chart" uri="{C3380CC4-5D6E-409C-BE32-E72D297353CC}">
              <c16:uniqueId val="{00000001-615A-440D-B70D-D9FF252B3BDD}"/>
            </c:ext>
          </c:extLst>
        </c:ser>
        <c:ser>
          <c:idx val="2"/>
          <c:order val="2"/>
          <c:tx>
            <c:strRef>
              <c:f>Feuil4!$A$127</c:f>
              <c:strCache>
                <c:ptCount val="1"/>
                <c:pt idx="0">
                  <c:v>Zinder</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Feuil4!$B$124:$E$124</c:f>
              <c:strCache>
                <c:ptCount val="3"/>
                <c:pt idx="0">
                  <c:v>De 1 à 2 repas</c:v>
                </c:pt>
                <c:pt idx="1">
                  <c:v>De 1 à 3 repas</c:v>
                </c:pt>
                <c:pt idx="2">
                  <c:v>De 2 à 3 repas</c:v>
                </c:pt>
              </c:strCache>
            </c:strRef>
          </c:cat>
          <c:val>
            <c:numRef>
              <c:f>Feuil4!$B$127:$E$127</c:f>
              <c:numCache>
                <c:formatCode>0%</c:formatCode>
                <c:ptCount val="3"/>
                <c:pt idx="0">
                  <c:v>0.33333333333333331</c:v>
                </c:pt>
                <c:pt idx="1">
                  <c:v>0.16049382716049382</c:v>
                </c:pt>
                <c:pt idx="2">
                  <c:v>0.66666666666666663</c:v>
                </c:pt>
              </c:numCache>
            </c:numRef>
          </c:val>
          <c:extLst>
            <c:ext xmlns:c16="http://schemas.microsoft.com/office/drawing/2014/chart" uri="{C3380CC4-5D6E-409C-BE32-E72D297353CC}">
              <c16:uniqueId val="{00000002-615A-440D-B70D-D9FF252B3BDD}"/>
            </c:ext>
          </c:extLst>
        </c:ser>
        <c:dLbls>
          <c:showLegendKey val="0"/>
          <c:showVal val="0"/>
          <c:showCatName val="0"/>
          <c:showSerName val="0"/>
          <c:showPercent val="0"/>
          <c:showBubbleSize val="0"/>
        </c:dLbls>
        <c:gapWidth val="219"/>
        <c:overlap val="-27"/>
        <c:axId val="571124824"/>
        <c:axId val="571125808"/>
      </c:barChart>
      <c:catAx>
        <c:axId val="57112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1125808"/>
        <c:crosses val="autoZero"/>
        <c:auto val="1"/>
        <c:lblAlgn val="ctr"/>
        <c:lblOffset val="100"/>
        <c:noMultiLvlLbl val="0"/>
      </c:catAx>
      <c:valAx>
        <c:axId val="571125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1124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Taux d'augmentation nombre repas par jour/PDE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Feuil7!$C$57</c:f>
              <c:strCache>
                <c:ptCount val="1"/>
                <c:pt idx="0">
                  <c:v>Proportion %</c:v>
                </c:pt>
              </c:strCache>
            </c:strRef>
          </c:tx>
          <c:spPr>
            <a:solidFill>
              <a:schemeClr val="accent1"/>
            </a:solidFill>
            <a:ln>
              <a:noFill/>
            </a:ln>
            <a:effectLst/>
          </c:spPr>
          <c:invertIfNegative val="0"/>
          <c:dPt>
            <c:idx val="1"/>
            <c:invertIfNegative val="0"/>
            <c:bubble3D val="0"/>
            <c:spPr>
              <a:solidFill>
                <a:srgbClr val="9BBB59">
                  <a:lumMod val="60000"/>
                  <a:lumOff val="40000"/>
                </a:srgbClr>
              </a:solidFill>
              <a:ln>
                <a:noFill/>
              </a:ln>
              <a:effectLst/>
            </c:spPr>
            <c:extLst>
              <c:ext xmlns:c16="http://schemas.microsoft.com/office/drawing/2014/chart" uri="{C3380CC4-5D6E-409C-BE32-E72D297353CC}">
                <c16:uniqueId val="{00000000-0F02-4200-9184-FB3B69BFE6CF}"/>
              </c:ext>
            </c:extLst>
          </c:dPt>
          <c:dPt>
            <c:idx val="2"/>
            <c:invertIfNegative val="0"/>
            <c:bubble3D val="0"/>
            <c:spPr>
              <a:solidFill>
                <a:srgbClr val="C0504D">
                  <a:lumMod val="40000"/>
                  <a:lumOff val="60000"/>
                </a:srgbClr>
              </a:solidFill>
              <a:ln>
                <a:noFill/>
              </a:ln>
              <a:effectLst/>
            </c:spPr>
            <c:extLst>
              <c:ext xmlns:c16="http://schemas.microsoft.com/office/drawing/2014/chart" uri="{C3380CC4-5D6E-409C-BE32-E72D297353CC}">
                <c16:uniqueId val="{00000001-0F02-4200-9184-FB3B69BFE6CF}"/>
              </c:ext>
            </c:extLst>
          </c:dPt>
          <c:dPt>
            <c:idx val="3"/>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2-0F02-4200-9184-FB3B69BFE6CF}"/>
              </c:ext>
            </c:extLst>
          </c:dPt>
          <c:dPt>
            <c:idx val="4"/>
            <c:invertIfNegative val="0"/>
            <c:bubble3D val="0"/>
            <c:spPr>
              <a:solidFill>
                <a:srgbClr val="4BACC6">
                  <a:lumMod val="60000"/>
                  <a:lumOff val="40000"/>
                </a:srgbClr>
              </a:solidFill>
              <a:ln>
                <a:noFill/>
              </a:ln>
              <a:effectLst/>
            </c:spPr>
            <c:extLst>
              <c:ext xmlns:c16="http://schemas.microsoft.com/office/drawing/2014/chart" uri="{C3380CC4-5D6E-409C-BE32-E72D297353CC}">
                <c16:uniqueId val="{00000003-0F02-4200-9184-FB3B69BFE6CF}"/>
              </c:ext>
            </c:extLst>
          </c:dPt>
          <c:dPt>
            <c:idx val="5"/>
            <c:invertIfNegative val="0"/>
            <c:bubble3D val="0"/>
            <c:spPr>
              <a:solidFill>
                <a:srgbClr val="FFC000"/>
              </a:solidFill>
              <a:ln>
                <a:noFill/>
              </a:ln>
              <a:effectLst/>
            </c:spPr>
            <c:extLst>
              <c:ext xmlns:c16="http://schemas.microsoft.com/office/drawing/2014/chart" uri="{C3380CC4-5D6E-409C-BE32-E72D297353CC}">
                <c16:uniqueId val="{00000004-0F02-4200-9184-FB3B69BFE6CF}"/>
              </c:ext>
            </c:extLst>
          </c:dPt>
          <c:dPt>
            <c:idx val="6"/>
            <c:invertIfNegative val="0"/>
            <c:bubble3D val="0"/>
            <c:spPr>
              <a:solidFill>
                <a:srgbClr val="8064A2">
                  <a:lumMod val="75000"/>
                </a:srgbClr>
              </a:solidFill>
              <a:ln>
                <a:noFill/>
              </a:ln>
              <a:effectLst/>
            </c:spPr>
            <c:extLst>
              <c:ext xmlns:c16="http://schemas.microsoft.com/office/drawing/2014/chart" uri="{C3380CC4-5D6E-409C-BE32-E72D297353CC}">
                <c16:uniqueId val="{00000005-0F02-4200-9184-FB3B69BFE6CF}"/>
              </c:ext>
            </c:extLst>
          </c:dPt>
          <c:dPt>
            <c:idx val="7"/>
            <c:invertIfNegative val="0"/>
            <c:bubble3D val="0"/>
            <c:spPr>
              <a:solidFill>
                <a:srgbClr val="F79646">
                  <a:lumMod val="75000"/>
                </a:srgbClr>
              </a:solidFill>
              <a:ln>
                <a:noFill/>
              </a:ln>
              <a:effectLst/>
            </c:spPr>
            <c:extLst>
              <c:ext xmlns:c16="http://schemas.microsoft.com/office/drawing/2014/chart" uri="{C3380CC4-5D6E-409C-BE32-E72D297353CC}">
                <c16:uniqueId val="{00000006-0F02-4200-9184-FB3B69BFE6C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Feuil7!$A$58:$A$69</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Feuil7!$C$58:$C$69</c:f>
              <c:numCache>
                <c:formatCode>0%</c:formatCode>
                <c:ptCount val="8"/>
                <c:pt idx="0">
                  <c:v>9.6590909090909088E-2</c:v>
                </c:pt>
                <c:pt idx="1">
                  <c:v>0.21590909090909091</c:v>
                </c:pt>
                <c:pt idx="2">
                  <c:v>0.20454545454545456</c:v>
                </c:pt>
                <c:pt idx="3">
                  <c:v>9.6590909090909088E-2</c:v>
                </c:pt>
                <c:pt idx="4">
                  <c:v>0.10227272727272728</c:v>
                </c:pt>
                <c:pt idx="5">
                  <c:v>7.3863636363636367E-2</c:v>
                </c:pt>
                <c:pt idx="6">
                  <c:v>0.14204545454545456</c:v>
                </c:pt>
                <c:pt idx="7">
                  <c:v>6.8181818181818177E-2</c:v>
                </c:pt>
              </c:numCache>
            </c:numRef>
          </c:val>
          <c:extLst>
            <c:ext xmlns:c16="http://schemas.microsoft.com/office/drawing/2014/chart" uri="{C3380CC4-5D6E-409C-BE32-E72D297353CC}">
              <c16:uniqueId val="{00000000-97D7-46DC-911C-AA35FA87BC62}"/>
            </c:ext>
          </c:extLst>
        </c:ser>
        <c:dLbls>
          <c:showLegendKey val="0"/>
          <c:showVal val="0"/>
          <c:showCatName val="0"/>
          <c:showSerName val="0"/>
          <c:showPercent val="0"/>
          <c:showBubbleSize val="0"/>
        </c:dLbls>
        <c:gapWidth val="219"/>
        <c:overlap val="-27"/>
        <c:axId val="574805200"/>
        <c:axId val="574803232"/>
      </c:barChart>
      <c:catAx>
        <c:axId val="57480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4803232"/>
        <c:crosses val="autoZero"/>
        <c:auto val="1"/>
        <c:lblAlgn val="ctr"/>
        <c:lblOffset val="100"/>
        <c:noMultiLvlLbl val="0"/>
      </c:catAx>
      <c:valAx>
        <c:axId val="57480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4805200"/>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Augmentation de nombre de repas/PDE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Feuil4!$B$146</c:f>
              <c:strCache>
                <c:ptCount val="1"/>
                <c:pt idx="0">
                  <c:v>De 1 à 2 répas</c:v>
                </c:pt>
              </c:strCache>
            </c:strRef>
          </c:tx>
          <c:spPr>
            <a:solidFill>
              <a:srgbClr val="4BACC6">
                <a:lumMod val="60000"/>
                <a:lumOff val="40000"/>
              </a:srgbClr>
            </a:solidFill>
            <a:ln>
              <a:noFill/>
            </a:ln>
            <a:effectLst/>
            <a:sp3d/>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2C-404C-BC0A-0AC6698381BD}"/>
                </c:ext>
              </c:extLst>
            </c:dLbl>
            <c:dLbl>
              <c:idx val="2"/>
              <c:layout>
                <c:manualLayout>
                  <c:x val="7.0921985815602401E-3"/>
                  <c:y val="-6.024096385542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2C-404C-BC0A-0AC6698381BD}"/>
                </c:ext>
              </c:extLst>
            </c:dLbl>
            <c:dLbl>
              <c:idx val="6"/>
              <c:layout>
                <c:manualLayout>
                  <c:x val="0"/>
                  <c:y val="-4.0160642570281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2C-404C-BC0A-0AC6698381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highlight>
                      <a:srgbClr val="FFFF00"/>
                    </a:highlight>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Feuil4!$A$147:$A$158</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Feuil4!$B$147:$B$158</c:f>
              <c:numCache>
                <c:formatCode>0%</c:formatCode>
                <c:ptCount val="8"/>
                <c:pt idx="0">
                  <c:v>7.407407407407407E-2</c:v>
                </c:pt>
                <c:pt idx="1">
                  <c:v>0.24691358024691357</c:v>
                </c:pt>
                <c:pt idx="2">
                  <c:v>0.22222222222222221</c:v>
                </c:pt>
                <c:pt idx="3">
                  <c:v>6.1728395061728392E-2</c:v>
                </c:pt>
                <c:pt idx="4">
                  <c:v>6.1728395061728392E-2</c:v>
                </c:pt>
                <c:pt idx="5">
                  <c:v>8.6419753086419748E-2</c:v>
                </c:pt>
                <c:pt idx="6">
                  <c:v>0.16049382716049382</c:v>
                </c:pt>
                <c:pt idx="7">
                  <c:v>8.6419753086419748E-2</c:v>
                </c:pt>
              </c:numCache>
            </c:numRef>
          </c:val>
          <c:extLst>
            <c:ext xmlns:c16="http://schemas.microsoft.com/office/drawing/2014/chart" uri="{C3380CC4-5D6E-409C-BE32-E72D297353CC}">
              <c16:uniqueId val="{00000000-424F-4E13-9A67-8D373DC269C7}"/>
            </c:ext>
          </c:extLst>
        </c:ser>
        <c:ser>
          <c:idx val="1"/>
          <c:order val="1"/>
          <c:tx>
            <c:strRef>
              <c:f>Feuil4!$C$146</c:f>
              <c:strCache>
                <c:ptCount val="1"/>
                <c:pt idx="0">
                  <c:v>De 1 à 3 répas</c:v>
                </c:pt>
              </c:strCache>
            </c:strRef>
          </c:tx>
          <c:spPr>
            <a:solidFill>
              <a:srgbClr val="FFC000"/>
            </a:solidFill>
            <a:ln>
              <a:noFill/>
            </a:ln>
            <a:effectLst/>
            <a:sp3d/>
          </c:spPr>
          <c:invertIfNegative val="0"/>
          <c:dLbls>
            <c:dLbl>
              <c:idx val="1"/>
              <c:layout>
                <c:manualLayout>
                  <c:x val="3.7825059101654845E-2"/>
                  <c:y val="-1.2048192771084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2C-404C-BC0A-0AC6698381BD}"/>
                </c:ext>
              </c:extLst>
            </c:dLbl>
            <c:dLbl>
              <c:idx val="2"/>
              <c:layout>
                <c:manualLayout>
                  <c:x val="4.4917257683215042E-2"/>
                  <c:y val="-1.2048192771084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2C-404C-BC0A-0AC6698381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highlight>
                      <a:srgbClr val="FF9933"/>
                    </a:highlight>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Feuil4!$A$147:$A$158</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Feuil4!$C$147:$C$158</c:f>
              <c:numCache>
                <c:formatCode>0%</c:formatCode>
                <c:ptCount val="8"/>
                <c:pt idx="0">
                  <c:v>0.13580246913580246</c:v>
                </c:pt>
                <c:pt idx="1">
                  <c:v>0.19753086419753085</c:v>
                </c:pt>
                <c:pt idx="2">
                  <c:v>0.19753086419753085</c:v>
                </c:pt>
                <c:pt idx="3">
                  <c:v>0.14814814814814814</c:v>
                </c:pt>
                <c:pt idx="4">
                  <c:v>0.16049382716049382</c:v>
                </c:pt>
                <c:pt idx="5">
                  <c:v>4.9382716049382713E-2</c:v>
                </c:pt>
                <c:pt idx="6">
                  <c:v>7.407407407407407E-2</c:v>
                </c:pt>
                <c:pt idx="7">
                  <c:v>3.7037037037037035E-2</c:v>
                </c:pt>
              </c:numCache>
            </c:numRef>
          </c:val>
          <c:extLst>
            <c:ext xmlns:c16="http://schemas.microsoft.com/office/drawing/2014/chart" uri="{C3380CC4-5D6E-409C-BE32-E72D297353CC}">
              <c16:uniqueId val="{00000001-424F-4E13-9A67-8D373DC269C7}"/>
            </c:ext>
          </c:extLst>
        </c:ser>
        <c:ser>
          <c:idx val="2"/>
          <c:order val="2"/>
          <c:tx>
            <c:strRef>
              <c:f>Feuil4!$D$146</c:f>
              <c:strCache>
                <c:ptCount val="1"/>
                <c:pt idx="0">
                  <c:v>De 2 à 3 répas</c:v>
                </c:pt>
              </c:strCache>
            </c:strRef>
          </c:tx>
          <c:spPr>
            <a:solidFill>
              <a:srgbClr val="EEECE1">
                <a:lumMod val="25000"/>
              </a:srgbClr>
            </a:solidFill>
            <a:ln>
              <a:noFill/>
            </a:ln>
            <a:effectLst/>
            <a:sp3d/>
          </c:spPr>
          <c:invertIfNegative val="0"/>
          <c:dLbls>
            <c:dLbl>
              <c:idx val="3"/>
              <c:layout>
                <c:manualLayout>
                  <c:x val="2.6004728132387706E-2"/>
                  <c:y val="-8.83534136546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2C-404C-BC0A-0AC6698381BD}"/>
                </c:ext>
              </c:extLst>
            </c:dLbl>
            <c:dLbl>
              <c:idx val="4"/>
              <c:layout>
                <c:manualLayout>
                  <c:x val="2.8368794326241134E-2"/>
                  <c:y val="-7.6305220883534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2C-404C-BC0A-0AC6698381BD}"/>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2C-404C-BC0A-0AC6698381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highlight>
                      <a:srgbClr val="00FFFF"/>
                    </a:highlight>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Feuil4!$A$147:$A$158</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Feuil4!$D$147:$D$158</c:f>
              <c:numCache>
                <c:formatCode>0%</c:formatCode>
                <c:ptCount val="8"/>
                <c:pt idx="0">
                  <c:v>6.6666666666666666E-2</c:v>
                </c:pt>
                <c:pt idx="1">
                  <c:v>0.13333333333333333</c:v>
                </c:pt>
                <c:pt idx="2">
                  <c:v>0.13333333333333333</c:v>
                </c:pt>
                <c:pt idx="3">
                  <c:v>0</c:v>
                </c:pt>
                <c:pt idx="4">
                  <c:v>0</c:v>
                </c:pt>
                <c:pt idx="5">
                  <c:v>0.13333333333333333</c:v>
                </c:pt>
                <c:pt idx="6">
                  <c:v>0.4</c:v>
                </c:pt>
                <c:pt idx="7">
                  <c:v>0.13333333333333333</c:v>
                </c:pt>
              </c:numCache>
            </c:numRef>
          </c:val>
          <c:extLst>
            <c:ext xmlns:c16="http://schemas.microsoft.com/office/drawing/2014/chart" uri="{C3380CC4-5D6E-409C-BE32-E72D297353CC}">
              <c16:uniqueId val="{00000002-424F-4E13-9A67-8D373DC269C7}"/>
            </c:ext>
          </c:extLst>
        </c:ser>
        <c:dLbls>
          <c:showLegendKey val="0"/>
          <c:showVal val="0"/>
          <c:showCatName val="0"/>
          <c:showSerName val="0"/>
          <c:showPercent val="0"/>
          <c:showBubbleSize val="0"/>
        </c:dLbls>
        <c:gapWidth val="150"/>
        <c:shape val="box"/>
        <c:axId val="547644464"/>
        <c:axId val="547641840"/>
        <c:axId val="0"/>
      </c:bar3DChart>
      <c:catAx>
        <c:axId val="547644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7641840"/>
        <c:crosses val="autoZero"/>
        <c:auto val="1"/>
        <c:lblAlgn val="ctr"/>
        <c:lblOffset val="100"/>
        <c:noMultiLvlLbl val="0"/>
      </c:catAx>
      <c:valAx>
        <c:axId val="547641840"/>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764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Réduction de recours au crédit/Région</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Feuil7!$C$15</c:f>
              <c:strCache>
                <c:ptCount val="1"/>
                <c:pt idx="0">
                  <c:v>Proportion %</c:v>
                </c:pt>
              </c:strCache>
            </c:strRef>
          </c:tx>
          <c:spPr>
            <a:solidFill>
              <a:schemeClr val="accent1"/>
            </a:solidFill>
            <a:ln>
              <a:noFill/>
            </a:ln>
            <a:effectLst/>
            <a:sp3d/>
          </c:spPr>
          <c:invertIfNegative val="0"/>
          <c:dPt>
            <c:idx val="0"/>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1-2121-4AB8-8184-ADFB0E313F19}"/>
              </c:ext>
            </c:extLst>
          </c:dPt>
          <c:dPt>
            <c:idx val="1"/>
            <c:invertIfNegative val="0"/>
            <c:bubble3D val="0"/>
            <c:spPr>
              <a:solidFill>
                <a:schemeClr val="accent2">
                  <a:lumMod val="40000"/>
                  <a:lumOff val="60000"/>
                </a:schemeClr>
              </a:solidFill>
              <a:ln>
                <a:noFill/>
              </a:ln>
              <a:effectLst/>
              <a:sp3d/>
            </c:spPr>
            <c:extLst>
              <c:ext xmlns:c16="http://schemas.microsoft.com/office/drawing/2014/chart" uri="{C3380CC4-5D6E-409C-BE32-E72D297353CC}">
                <c16:uniqueId val="{00000003-2121-4AB8-8184-ADFB0E313F19}"/>
              </c:ext>
            </c:extLst>
          </c:dPt>
          <c:dPt>
            <c:idx val="2"/>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5-2121-4AB8-8184-ADFB0E313F19}"/>
              </c:ext>
            </c:extLst>
          </c:dPt>
          <c:dLbls>
            <c:dLbl>
              <c:idx val="0"/>
              <c:layout>
                <c:manualLayout>
                  <c:x val="3.617139677239839E-2"/>
                  <c:y val="-5.527915975677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21-4AB8-8184-ADFB0E313F19}"/>
                </c:ext>
              </c:extLst>
            </c:dLbl>
            <c:dLbl>
              <c:idx val="1"/>
              <c:layout>
                <c:manualLayout>
                  <c:x val="3.6171396772398445E-2"/>
                  <c:y val="-6.0807075732448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21-4AB8-8184-ADFB0E313F19}"/>
                </c:ext>
              </c:extLst>
            </c:dLbl>
            <c:dLbl>
              <c:idx val="2"/>
              <c:layout>
                <c:manualLayout>
                  <c:x val="3.6171396772398445E-2"/>
                  <c:y val="-6.6334991708126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21-4AB8-8184-ADFB0E313F1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Feuil7!$A$16:$A$27</c:f>
              <c:strCache>
                <c:ptCount val="3"/>
                <c:pt idx="0">
                  <c:v>Maradi</c:v>
                </c:pt>
                <c:pt idx="1">
                  <c:v>Tahoua</c:v>
                </c:pt>
                <c:pt idx="2">
                  <c:v>Zinder</c:v>
                </c:pt>
              </c:strCache>
            </c:strRef>
          </c:cat>
          <c:val>
            <c:numRef>
              <c:f>Feuil7!$C$16:$C$27</c:f>
              <c:numCache>
                <c:formatCode>0%</c:formatCode>
                <c:ptCount val="3"/>
                <c:pt idx="0">
                  <c:v>0.53749999999999998</c:v>
                </c:pt>
                <c:pt idx="1">
                  <c:v>0.2</c:v>
                </c:pt>
                <c:pt idx="2">
                  <c:v>0.26250000000000001</c:v>
                </c:pt>
              </c:numCache>
            </c:numRef>
          </c:val>
          <c:extLst>
            <c:ext xmlns:c16="http://schemas.microsoft.com/office/drawing/2014/chart" uri="{C3380CC4-5D6E-409C-BE32-E72D297353CC}">
              <c16:uniqueId val="{00000006-2121-4AB8-8184-ADFB0E313F19}"/>
            </c:ext>
          </c:extLst>
        </c:ser>
        <c:dLbls>
          <c:showLegendKey val="0"/>
          <c:showVal val="0"/>
          <c:showCatName val="0"/>
          <c:showSerName val="0"/>
          <c:showPercent val="0"/>
          <c:showBubbleSize val="0"/>
        </c:dLbls>
        <c:gapWidth val="150"/>
        <c:shape val="box"/>
        <c:axId val="546059968"/>
        <c:axId val="546060296"/>
        <c:axId val="0"/>
      </c:bar3DChart>
      <c:catAx>
        <c:axId val="546059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6060296"/>
        <c:crosses val="autoZero"/>
        <c:auto val="1"/>
        <c:lblAlgn val="ctr"/>
        <c:lblOffset val="100"/>
        <c:noMultiLvlLbl val="0"/>
      </c:catAx>
      <c:valAx>
        <c:axId val="546060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6059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Réduction de recours au crédit/PDE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Feuil7!$C$15</c:f>
              <c:strCache>
                <c:ptCount val="1"/>
                <c:pt idx="0">
                  <c:v>Proportion %</c:v>
                </c:pt>
              </c:strCache>
            </c:strRef>
          </c:tx>
          <c:spPr>
            <a:solidFill>
              <a:schemeClr val="accent1"/>
            </a:solidFill>
            <a:ln>
              <a:noFill/>
            </a:ln>
            <a:effectLst/>
            <a:sp3d/>
          </c:spPr>
          <c:invertIfNegative val="0"/>
          <c:dPt>
            <c:idx val="0"/>
            <c:invertIfNegative val="0"/>
            <c:bubble3D val="0"/>
            <c:spPr>
              <a:solidFill>
                <a:srgbClr val="1F497D">
                  <a:lumMod val="20000"/>
                  <a:lumOff val="80000"/>
                </a:srgbClr>
              </a:solidFill>
              <a:ln>
                <a:noFill/>
              </a:ln>
              <a:effectLst/>
              <a:sp3d/>
            </c:spPr>
            <c:extLst>
              <c:ext xmlns:c16="http://schemas.microsoft.com/office/drawing/2014/chart" uri="{C3380CC4-5D6E-409C-BE32-E72D297353CC}">
                <c16:uniqueId val="{00000001-58F6-44BF-9C45-D655AA93A2CE}"/>
              </c:ext>
            </c:extLst>
          </c:dPt>
          <c:dPt>
            <c:idx val="1"/>
            <c:invertIfNegative val="0"/>
            <c:bubble3D val="0"/>
            <c:spPr>
              <a:solidFill>
                <a:srgbClr val="F79646">
                  <a:lumMod val="60000"/>
                  <a:lumOff val="40000"/>
                </a:srgbClr>
              </a:solidFill>
              <a:ln>
                <a:noFill/>
              </a:ln>
              <a:effectLst/>
              <a:sp3d/>
            </c:spPr>
            <c:extLst>
              <c:ext xmlns:c16="http://schemas.microsoft.com/office/drawing/2014/chart" uri="{C3380CC4-5D6E-409C-BE32-E72D297353CC}">
                <c16:uniqueId val="{00000003-58F6-44BF-9C45-D655AA93A2CE}"/>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58F6-44BF-9C45-D655AA93A2CE}"/>
              </c:ext>
            </c:extLst>
          </c:dPt>
          <c:dPt>
            <c:idx val="3"/>
            <c:invertIfNegative val="0"/>
            <c:bubble3D val="0"/>
            <c:spPr>
              <a:solidFill>
                <a:srgbClr val="C0504D">
                  <a:lumMod val="40000"/>
                  <a:lumOff val="60000"/>
                </a:srgbClr>
              </a:solidFill>
              <a:ln>
                <a:noFill/>
              </a:ln>
              <a:effectLst/>
              <a:sp3d/>
            </c:spPr>
            <c:extLst>
              <c:ext xmlns:c16="http://schemas.microsoft.com/office/drawing/2014/chart" uri="{C3380CC4-5D6E-409C-BE32-E72D297353CC}">
                <c16:uniqueId val="{00000007-58F6-44BF-9C45-D655AA93A2CE}"/>
              </c:ext>
            </c:extLst>
          </c:dPt>
          <c:dPt>
            <c:idx val="4"/>
            <c:invertIfNegative val="0"/>
            <c:bubble3D val="0"/>
            <c:spPr>
              <a:solidFill>
                <a:srgbClr val="FFFF99"/>
              </a:solidFill>
              <a:ln>
                <a:noFill/>
              </a:ln>
              <a:effectLst/>
              <a:sp3d/>
            </c:spPr>
            <c:extLst>
              <c:ext xmlns:c16="http://schemas.microsoft.com/office/drawing/2014/chart" uri="{C3380CC4-5D6E-409C-BE32-E72D297353CC}">
                <c16:uniqueId val="{00000009-58F6-44BF-9C45-D655AA93A2CE}"/>
              </c:ext>
            </c:extLst>
          </c:dPt>
          <c:dPt>
            <c:idx val="5"/>
            <c:invertIfNegative val="0"/>
            <c:bubble3D val="0"/>
            <c:spPr>
              <a:solidFill>
                <a:srgbClr val="EEECE1">
                  <a:lumMod val="50000"/>
                </a:srgbClr>
              </a:solidFill>
              <a:ln>
                <a:noFill/>
              </a:ln>
              <a:effectLst/>
              <a:sp3d/>
            </c:spPr>
            <c:extLst>
              <c:ext xmlns:c16="http://schemas.microsoft.com/office/drawing/2014/chart" uri="{C3380CC4-5D6E-409C-BE32-E72D297353CC}">
                <c16:uniqueId val="{0000000B-58F6-44BF-9C45-D655AA93A2CE}"/>
              </c:ext>
            </c:extLst>
          </c:dPt>
          <c:dPt>
            <c:idx val="6"/>
            <c:invertIfNegative val="0"/>
            <c:bubble3D val="0"/>
            <c:spPr>
              <a:solidFill>
                <a:srgbClr val="4BACC6">
                  <a:lumMod val="60000"/>
                  <a:lumOff val="40000"/>
                </a:srgbClr>
              </a:solidFill>
              <a:ln>
                <a:noFill/>
              </a:ln>
              <a:effectLst/>
              <a:sp3d/>
            </c:spPr>
            <c:extLst>
              <c:ext xmlns:c16="http://schemas.microsoft.com/office/drawing/2014/chart" uri="{C3380CC4-5D6E-409C-BE32-E72D297353CC}">
                <c16:uniqueId val="{0000000D-58F6-44BF-9C45-D655AA93A2CE}"/>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Feuil7!$A$16:$A$27</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Feuil7!$C$16:$C$27</c:f>
              <c:numCache>
                <c:formatCode>0%</c:formatCode>
                <c:ptCount val="8"/>
                <c:pt idx="0">
                  <c:v>0.17499999999999999</c:v>
                </c:pt>
                <c:pt idx="1">
                  <c:v>0.36249999999999999</c:v>
                </c:pt>
                <c:pt idx="2">
                  <c:v>3.7499999999999999E-2</c:v>
                </c:pt>
                <c:pt idx="3">
                  <c:v>7.4999999999999997E-2</c:v>
                </c:pt>
                <c:pt idx="4">
                  <c:v>8.7499999999999994E-2</c:v>
                </c:pt>
                <c:pt idx="5">
                  <c:v>8.7499999999999994E-2</c:v>
                </c:pt>
                <c:pt idx="6">
                  <c:v>0.13750000000000001</c:v>
                </c:pt>
                <c:pt idx="7">
                  <c:v>3.7499999999999999E-2</c:v>
                </c:pt>
              </c:numCache>
            </c:numRef>
          </c:val>
          <c:extLst>
            <c:ext xmlns:c16="http://schemas.microsoft.com/office/drawing/2014/chart" uri="{C3380CC4-5D6E-409C-BE32-E72D297353CC}">
              <c16:uniqueId val="{0000000E-58F6-44BF-9C45-D655AA93A2CE}"/>
            </c:ext>
          </c:extLst>
        </c:ser>
        <c:dLbls>
          <c:showLegendKey val="0"/>
          <c:showVal val="0"/>
          <c:showCatName val="0"/>
          <c:showSerName val="0"/>
          <c:showPercent val="0"/>
          <c:showBubbleSize val="0"/>
        </c:dLbls>
        <c:gapWidth val="150"/>
        <c:shape val="box"/>
        <c:axId val="546059968"/>
        <c:axId val="546060296"/>
        <c:axId val="0"/>
      </c:bar3DChart>
      <c:catAx>
        <c:axId val="546059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6060296"/>
        <c:crosses val="autoZero"/>
        <c:auto val="1"/>
        <c:lblAlgn val="ctr"/>
        <c:lblOffset val="100"/>
        <c:noMultiLvlLbl val="0"/>
      </c:catAx>
      <c:valAx>
        <c:axId val="546060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46059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Moyenne de Membre GFS par Région</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Feuil1!$B$113</c:f>
              <c:strCache>
                <c:ptCount val="1"/>
                <c:pt idx="0">
                  <c:v>Moyenne de Nbre Membre</c:v>
                </c:pt>
              </c:strCache>
            </c:strRef>
          </c:tx>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F9B4-40A9-8862-1F2410FEBC80}"/>
              </c:ext>
            </c:extLst>
          </c:dPt>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F9B4-40A9-8862-1F2410FEBC80}"/>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F9B4-40A9-8862-1F2410FEBC80}"/>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7-F9B4-40A9-8862-1F2410FEBC8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Feuil1!$A$114:$A$125</c:f>
              <c:strCache>
                <c:ptCount val="4"/>
                <c:pt idx="0">
                  <c:v>Maradi</c:v>
                </c:pt>
                <c:pt idx="1">
                  <c:v>Tahoua</c:v>
                </c:pt>
                <c:pt idx="2">
                  <c:v>Zinder</c:v>
                </c:pt>
                <c:pt idx="3">
                  <c:v>Total général</c:v>
                </c:pt>
              </c:strCache>
            </c:strRef>
          </c:cat>
          <c:val>
            <c:numRef>
              <c:f>Feuil1!$B$114:$B$125</c:f>
              <c:numCache>
                <c:formatCode>General</c:formatCode>
                <c:ptCount val="4"/>
                <c:pt idx="0">
                  <c:v>205</c:v>
                </c:pt>
                <c:pt idx="1">
                  <c:v>110</c:v>
                </c:pt>
                <c:pt idx="2">
                  <c:v>144</c:v>
                </c:pt>
                <c:pt idx="3">
                  <c:v>153</c:v>
                </c:pt>
              </c:numCache>
            </c:numRef>
          </c:val>
          <c:extLst>
            <c:ext xmlns:c16="http://schemas.microsoft.com/office/drawing/2014/chart" uri="{C3380CC4-5D6E-409C-BE32-E72D297353CC}">
              <c16:uniqueId val="{00000008-F9B4-40A9-8862-1F2410FEBC80}"/>
            </c:ext>
          </c:extLst>
        </c:ser>
        <c:dLbls>
          <c:showLegendKey val="0"/>
          <c:showVal val="0"/>
          <c:showCatName val="0"/>
          <c:showSerName val="0"/>
          <c:showPercent val="0"/>
          <c:showBubbleSize val="0"/>
        </c:dLbls>
        <c:gapWidth val="219"/>
        <c:overlap val="-27"/>
        <c:axId val="534748360"/>
        <c:axId val="534746720"/>
      </c:barChart>
      <c:catAx>
        <c:axId val="53474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4746720"/>
        <c:crosses val="autoZero"/>
        <c:auto val="1"/>
        <c:lblAlgn val="ctr"/>
        <c:lblOffset val="100"/>
        <c:noMultiLvlLbl val="0"/>
      </c:catAx>
      <c:valAx>
        <c:axId val="53474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4748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solidFill>
                  <a:sysClr val="windowText" lastClr="000000"/>
                </a:solidFill>
                <a:latin typeface="Arial" panose="020B0604020202020204" pitchFamily="34" charset="0"/>
                <a:cs typeface="Arial" panose="020B0604020202020204" pitchFamily="34" charset="0"/>
              </a:rPr>
              <a:t>Fréquence des réunions COGES GFS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Feuil4!$B$1</c:f>
              <c:strCache>
                <c:ptCount val="1"/>
                <c:pt idx="0">
                  <c:v>Réunion COGES</c:v>
                </c:pt>
              </c:strCache>
            </c:strRef>
          </c:tx>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3C2E-49AE-BE28-220CE018AB7C}"/>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3C2E-49AE-BE28-220CE018AB7C}"/>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3C2E-49AE-BE28-220CE018AB7C}"/>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7-3C2E-49AE-BE28-220CE018AB7C}"/>
              </c:ext>
            </c:extLst>
          </c:dPt>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9-3C2E-49AE-BE28-220CE018AB7C}"/>
              </c:ext>
            </c:extLst>
          </c:dPt>
          <c:cat>
            <c:strRef>
              <c:f>Feuil4!$A$2:$A$7</c:f>
              <c:strCache>
                <c:ptCount val="5"/>
                <c:pt idx="0">
                  <c:v>Hebdomadaire</c:v>
                </c:pt>
                <c:pt idx="1">
                  <c:v>Bimestrielle</c:v>
                </c:pt>
                <c:pt idx="2">
                  <c:v>Mensuelle</c:v>
                </c:pt>
                <c:pt idx="3">
                  <c:v>Annuelle</c:v>
                </c:pt>
                <c:pt idx="4">
                  <c:v>Autres</c:v>
                </c:pt>
              </c:strCache>
            </c:strRef>
          </c:cat>
          <c:val>
            <c:numRef>
              <c:f>Feuil4!$B$2:$B$7</c:f>
              <c:numCache>
                <c:formatCode>0</c:formatCode>
                <c:ptCount val="5"/>
                <c:pt idx="0">
                  <c:v>2</c:v>
                </c:pt>
                <c:pt idx="1">
                  <c:v>6</c:v>
                </c:pt>
                <c:pt idx="2">
                  <c:v>11</c:v>
                </c:pt>
                <c:pt idx="3">
                  <c:v>3</c:v>
                </c:pt>
                <c:pt idx="4">
                  <c:v>2</c:v>
                </c:pt>
              </c:numCache>
            </c:numRef>
          </c:val>
          <c:extLst>
            <c:ext xmlns:c16="http://schemas.microsoft.com/office/drawing/2014/chart" uri="{C3380CC4-5D6E-409C-BE32-E72D297353CC}">
              <c16:uniqueId val="{0000000A-3C2E-49AE-BE28-220CE018AB7C}"/>
            </c:ext>
          </c:extLst>
        </c:ser>
        <c:dLbls>
          <c:showLegendKey val="0"/>
          <c:showVal val="0"/>
          <c:showCatName val="0"/>
          <c:showSerName val="0"/>
          <c:showPercent val="0"/>
          <c:showBubbleSize val="0"/>
        </c:dLbls>
        <c:gapWidth val="219"/>
        <c:overlap val="-27"/>
        <c:axId val="629832696"/>
        <c:axId val="629828760"/>
      </c:barChart>
      <c:lineChart>
        <c:grouping val="standard"/>
        <c:varyColors val="0"/>
        <c:ser>
          <c:idx val="1"/>
          <c:order val="1"/>
          <c:tx>
            <c:strRef>
              <c:f>Feuil4!$C$1</c:f>
              <c:strCache>
                <c:ptCount val="1"/>
                <c:pt idx="0">
                  <c:v>Proportion %</c:v>
                </c:pt>
              </c:strCache>
            </c:strRef>
          </c:tx>
          <c:spPr>
            <a:ln w="28575" cap="rnd">
              <a:solidFill>
                <a:schemeClr val="accent2"/>
              </a:solidFill>
              <a:round/>
            </a:ln>
            <a:effectLst/>
          </c:spPr>
          <c:marker>
            <c:symbol val="none"/>
          </c:marker>
          <c:dLbls>
            <c:dLbl>
              <c:idx val="0"/>
              <c:layout>
                <c:manualLayout>
                  <c:x val="3.055555555555553E-2"/>
                  <c:y val="-1.4347202295552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2E-49AE-BE28-220CE018AB7C}"/>
                </c:ext>
              </c:extLst>
            </c:dLbl>
            <c:dLbl>
              <c:idx val="1"/>
              <c:layout>
                <c:manualLayout>
                  <c:x val="8.3333333333333332E-3"/>
                  <c:y val="-3.8259206121472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2E-49AE-BE28-220CE018AB7C}"/>
                </c:ext>
              </c:extLst>
            </c:dLbl>
            <c:dLbl>
              <c:idx val="2"/>
              <c:layout>
                <c:manualLayout>
                  <c:x val="3.05555555555555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2E-49AE-BE28-220CE018AB7C}"/>
                </c:ext>
              </c:extLst>
            </c:dLbl>
            <c:dLbl>
              <c:idx val="3"/>
              <c:layout>
                <c:manualLayout>
                  <c:x val="2.7777777777777779E-3"/>
                  <c:y val="-4.7824007651841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2E-49AE-BE28-220CE018AB7C}"/>
                </c:ext>
              </c:extLst>
            </c:dLbl>
            <c:dLbl>
              <c:idx val="4"/>
              <c:layout>
                <c:manualLayout>
                  <c:x val="0"/>
                  <c:y val="-4.3041606886657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C2E-49AE-BE28-220CE018AB7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Feuil4!$A$2:$A$7</c:f>
              <c:strCache>
                <c:ptCount val="5"/>
                <c:pt idx="0">
                  <c:v>Hebdomadaire</c:v>
                </c:pt>
                <c:pt idx="1">
                  <c:v>Bimestrielle</c:v>
                </c:pt>
                <c:pt idx="2">
                  <c:v>Mensuelle</c:v>
                </c:pt>
                <c:pt idx="3">
                  <c:v>Annuelle</c:v>
                </c:pt>
                <c:pt idx="4">
                  <c:v>Autres</c:v>
                </c:pt>
              </c:strCache>
            </c:strRef>
          </c:cat>
          <c:val>
            <c:numRef>
              <c:f>Feuil4!$C$2:$C$7</c:f>
              <c:numCache>
                <c:formatCode>0%</c:formatCode>
                <c:ptCount val="5"/>
                <c:pt idx="0">
                  <c:v>8.3333333333333329E-2</c:v>
                </c:pt>
                <c:pt idx="1">
                  <c:v>0.25</c:v>
                </c:pt>
                <c:pt idx="2">
                  <c:v>0.45833333333333331</c:v>
                </c:pt>
                <c:pt idx="3">
                  <c:v>0.125</c:v>
                </c:pt>
                <c:pt idx="4">
                  <c:v>8.3333333333333329E-2</c:v>
                </c:pt>
              </c:numCache>
            </c:numRef>
          </c:val>
          <c:smooth val="0"/>
          <c:extLst>
            <c:ext xmlns:c16="http://schemas.microsoft.com/office/drawing/2014/chart" uri="{C3380CC4-5D6E-409C-BE32-E72D297353CC}">
              <c16:uniqueId val="{00000010-3C2E-49AE-BE28-220CE018AB7C}"/>
            </c:ext>
          </c:extLst>
        </c:ser>
        <c:dLbls>
          <c:showLegendKey val="0"/>
          <c:showVal val="0"/>
          <c:showCatName val="0"/>
          <c:showSerName val="0"/>
          <c:showPercent val="0"/>
          <c:showBubbleSize val="0"/>
        </c:dLbls>
        <c:marker val="1"/>
        <c:smooth val="0"/>
        <c:axId val="629824824"/>
        <c:axId val="629828104"/>
      </c:lineChart>
      <c:catAx>
        <c:axId val="62983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29828760"/>
        <c:crosses val="autoZero"/>
        <c:auto val="1"/>
        <c:lblAlgn val="ctr"/>
        <c:lblOffset val="100"/>
        <c:noMultiLvlLbl val="0"/>
      </c:catAx>
      <c:valAx>
        <c:axId val="629828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29832696"/>
        <c:crosses val="autoZero"/>
        <c:crossBetween val="between"/>
      </c:valAx>
      <c:valAx>
        <c:axId val="62982810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29824824"/>
        <c:crosses val="max"/>
        <c:crossBetween val="between"/>
      </c:valAx>
      <c:catAx>
        <c:axId val="629824824"/>
        <c:scaling>
          <c:orientation val="minMax"/>
        </c:scaling>
        <c:delete val="1"/>
        <c:axPos val="b"/>
        <c:numFmt formatCode="General" sourceLinked="1"/>
        <c:majorTickMark val="none"/>
        <c:minorTickMark val="none"/>
        <c:tickLblPos val="nextTo"/>
        <c:crossAx val="629828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a:solidFill>
                  <a:sysClr val="windowText" lastClr="000000"/>
                </a:solidFill>
                <a:latin typeface="Arial" panose="020B0604020202020204" pitchFamily="34" charset="0"/>
                <a:cs typeface="Arial" panose="020B0604020202020204" pitchFamily="34" charset="0"/>
              </a:rPr>
              <a:t>Respect fréquence des réunions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Feuil8!$A$44</c:f>
              <c:strCache>
                <c:ptCount val="1"/>
                <c:pt idx="0">
                  <c:v>Non</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Feuil8!$B$43:$D$43</c:f>
              <c:strCache>
                <c:ptCount val="3"/>
                <c:pt idx="0">
                  <c:v>Maradi</c:v>
                </c:pt>
                <c:pt idx="1">
                  <c:v>Tahoua</c:v>
                </c:pt>
                <c:pt idx="2">
                  <c:v>Zinder</c:v>
                </c:pt>
              </c:strCache>
            </c:strRef>
          </c:cat>
          <c:val>
            <c:numRef>
              <c:f>Feuil8!$B$44:$D$44</c:f>
              <c:numCache>
                <c:formatCode>0%</c:formatCode>
                <c:ptCount val="3"/>
                <c:pt idx="0">
                  <c:v>0.125</c:v>
                </c:pt>
                <c:pt idx="1">
                  <c:v>0.25</c:v>
                </c:pt>
                <c:pt idx="2">
                  <c:v>0</c:v>
                </c:pt>
              </c:numCache>
            </c:numRef>
          </c:val>
          <c:extLst>
            <c:ext xmlns:c16="http://schemas.microsoft.com/office/drawing/2014/chart" uri="{C3380CC4-5D6E-409C-BE32-E72D297353CC}">
              <c16:uniqueId val="{00000000-41B8-47F4-98CE-7D9B950ED780}"/>
            </c:ext>
          </c:extLst>
        </c:ser>
        <c:ser>
          <c:idx val="1"/>
          <c:order val="1"/>
          <c:tx>
            <c:strRef>
              <c:f>Feuil8!$A$45</c:f>
              <c:strCache>
                <c:ptCount val="1"/>
                <c:pt idx="0">
                  <c:v>Oui</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Feuil8!$B$43:$D$43</c:f>
              <c:strCache>
                <c:ptCount val="3"/>
                <c:pt idx="0">
                  <c:v>Maradi</c:v>
                </c:pt>
                <c:pt idx="1">
                  <c:v>Tahoua</c:v>
                </c:pt>
                <c:pt idx="2">
                  <c:v>Zinder</c:v>
                </c:pt>
              </c:strCache>
            </c:strRef>
          </c:cat>
          <c:val>
            <c:numRef>
              <c:f>Feuil8!$B$45:$D$45</c:f>
              <c:numCache>
                <c:formatCode>0%</c:formatCode>
                <c:ptCount val="3"/>
                <c:pt idx="0">
                  <c:v>0.875</c:v>
                </c:pt>
                <c:pt idx="1">
                  <c:v>0.75</c:v>
                </c:pt>
                <c:pt idx="2">
                  <c:v>1</c:v>
                </c:pt>
              </c:numCache>
            </c:numRef>
          </c:val>
          <c:extLst>
            <c:ext xmlns:c16="http://schemas.microsoft.com/office/drawing/2014/chart" uri="{C3380CC4-5D6E-409C-BE32-E72D297353CC}">
              <c16:uniqueId val="{00000001-41B8-47F4-98CE-7D9B950ED780}"/>
            </c:ext>
          </c:extLst>
        </c:ser>
        <c:ser>
          <c:idx val="2"/>
          <c:order val="2"/>
          <c:tx>
            <c:strRef>
              <c:f>Feuil8!$A$46</c:f>
              <c:strCache>
                <c:ptCount val="1"/>
                <c:pt idx="0">
                  <c:v>Total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Feuil8!$B$43:$D$43</c:f>
              <c:strCache>
                <c:ptCount val="3"/>
                <c:pt idx="0">
                  <c:v>Maradi</c:v>
                </c:pt>
                <c:pt idx="1">
                  <c:v>Tahoua</c:v>
                </c:pt>
                <c:pt idx="2">
                  <c:v>Zinder</c:v>
                </c:pt>
              </c:strCache>
            </c:strRef>
          </c:cat>
          <c:val>
            <c:numRef>
              <c:f>Feuil8!$B$46:$D$46</c:f>
            </c:numRef>
          </c:val>
          <c:extLst>
            <c:ext xmlns:c16="http://schemas.microsoft.com/office/drawing/2014/chart" uri="{C3380CC4-5D6E-409C-BE32-E72D297353CC}">
              <c16:uniqueId val="{00000002-41B8-47F4-98CE-7D9B950ED780}"/>
            </c:ext>
          </c:extLst>
        </c:ser>
        <c:dLbls>
          <c:showLegendKey val="0"/>
          <c:showVal val="0"/>
          <c:showCatName val="0"/>
          <c:showSerName val="0"/>
          <c:showPercent val="0"/>
          <c:showBubbleSize val="0"/>
        </c:dLbls>
        <c:gapWidth val="100"/>
        <c:overlap val="-24"/>
        <c:axId val="507921976"/>
        <c:axId val="507919352"/>
      </c:barChart>
      <c:catAx>
        <c:axId val="507921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7919352"/>
        <c:crosses val="autoZero"/>
        <c:auto val="1"/>
        <c:lblAlgn val="ctr"/>
        <c:lblOffset val="100"/>
        <c:noMultiLvlLbl val="0"/>
      </c:catAx>
      <c:valAx>
        <c:axId val="50791935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792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Rédaction de PV des réunions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Feuil4!$J$104</c:f>
              <c:strCache>
                <c:ptCount val="1"/>
                <c:pt idx="0">
                  <c:v>Oui</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Feuil4!$I$105:$I$107</c:f>
              <c:strCache>
                <c:ptCount val="3"/>
                <c:pt idx="0">
                  <c:v>Maradi</c:v>
                </c:pt>
                <c:pt idx="1">
                  <c:v>Tahoua</c:v>
                </c:pt>
                <c:pt idx="2">
                  <c:v>Zinder</c:v>
                </c:pt>
              </c:strCache>
            </c:strRef>
          </c:cat>
          <c:val>
            <c:numRef>
              <c:f>Feuil4!$J$105:$J$107</c:f>
              <c:numCache>
                <c:formatCode>0%</c:formatCode>
                <c:ptCount val="3"/>
                <c:pt idx="0">
                  <c:v>0.625</c:v>
                </c:pt>
                <c:pt idx="1">
                  <c:v>0.75</c:v>
                </c:pt>
                <c:pt idx="2">
                  <c:v>0.875</c:v>
                </c:pt>
              </c:numCache>
            </c:numRef>
          </c:val>
          <c:extLst>
            <c:ext xmlns:c16="http://schemas.microsoft.com/office/drawing/2014/chart" uri="{C3380CC4-5D6E-409C-BE32-E72D297353CC}">
              <c16:uniqueId val="{00000000-89F3-45FC-B9B1-A925C47B6B02}"/>
            </c:ext>
          </c:extLst>
        </c:ser>
        <c:ser>
          <c:idx val="1"/>
          <c:order val="1"/>
          <c:tx>
            <c:strRef>
              <c:f>Feuil4!$K$104</c:f>
              <c:strCache>
                <c:ptCount val="1"/>
                <c:pt idx="0">
                  <c:v>Non</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Feuil4!$I$105:$I$107</c:f>
              <c:strCache>
                <c:ptCount val="3"/>
                <c:pt idx="0">
                  <c:v>Maradi</c:v>
                </c:pt>
                <c:pt idx="1">
                  <c:v>Tahoua</c:v>
                </c:pt>
                <c:pt idx="2">
                  <c:v>Zinder</c:v>
                </c:pt>
              </c:strCache>
            </c:strRef>
          </c:cat>
          <c:val>
            <c:numRef>
              <c:f>Feuil4!$K$105:$K$107</c:f>
              <c:numCache>
                <c:formatCode>0%</c:formatCode>
                <c:ptCount val="3"/>
                <c:pt idx="0">
                  <c:v>0.37</c:v>
                </c:pt>
                <c:pt idx="1">
                  <c:v>0.25</c:v>
                </c:pt>
                <c:pt idx="2">
                  <c:v>0.12</c:v>
                </c:pt>
              </c:numCache>
            </c:numRef>
          </c:val>
          <c:extLst>
            <c:ext xmlns:c16="http://schemas.microsoft.com/office/drawing/2014/chart" uri="{C3380CC4-5D6E-409C-BE32-E72D297353CC}">
              <c16:uniqueId val="{00000001-89F3-45FC-B9B1-A925C47B6B02}"/>
            </c:ext>
          </c:extLst>
        </c:ser>
        <c:dLbls>
          <c:showLegendKey val="0"/>
          <c:showVal val="0"/>
          <c:showCatName val="0"/>
          <c:showSerName val="0"/>
          <c:showPercent val="0"/>
          <c:showBubbleSize val="0"/>
        </c:dLbls>
        <c:gapWidth val="219"/>
        <c:overlap val="-27"/>
        <c:axId val="504996128"/>
        <c:axId val="504992520"/>
      </c:barChart>
      <c:catAx>
        <c:axId val="50499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4992520"/>
        <c:crosses val="autoZero"/>
        <c:auto val="1"/>
        <c:lblAlgn val="ctr"/>
        <c:lblOffset val="100"/>
        <c:noMultiLvlLbl val="0"/>
      </c:catAx>
      <c:valAx>
        <c:axId val="504992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499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Fréquence de tenue d'AG</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Feuil4!$B$162</c:f>
              <c:strCache>
                <c:ptCount val="1"/>
                <c:pt idx="0">
                  <c:v>Nombre de Fréquence AG</c:v>
                </c:pt>
              </c:strCache>
            </c:strRef>
          </c:tx>
          <c:spPr>
            <a:solidFill>
              <a:schemeClr val="accent1"/>
            </a:solidFill>
            <a:ln>
              <a:noFill/>
            </a:ln>
            <a:effectLst/>
          </c:spPr>
          <c:invertIfNegative val="0"/>
          <c:cat>
            <c:strRef>
              <c:f>Feuil4!$A$163:$A$168</c:f>
              <c:strCache>
                <c:ptCount val="6"/>
                <c:pt idx="0">
                  <c:v>Bimestrielle</c:v>
                </c:pt>
                <c:pt idx="1">
                  <c:v>Mensuelle</c:v>
                </c:pt>
                <c:pt idx="2">
                  <c:v>Trimestrielle</c:v>
                </c:pt>
                <c:pt idx="3">
                  <c:v>Semestrielle</c:v>
                </c:pt>
                <c:pt idx="4">
                  <c:v>Annuelle</c:v>
                </c:pt>
                <c:pt idx="5">
                  <c:v>Autres</c:v>
                </c:pt>
              </c:strCache>
            </c:strRef>
          </c:cat>
          <c:val>
            <c:numRef>
              <c:f>Feuil4!$B$163:$B$168</c:f>
              <c:numCache>
                <c:formatCode>General</c:formatCode>
                <c:ptCount val="6"/>
                <c:pt idx="0">
                  <c:v>2</c:v>
                </c:pt>
                <c:pt idx="1">
                  <c:v>12</c:v>
                </c:pt>
                <c:pt idx="2">
                  <c:v>1</c:v>
                </c:pt>
                <c:pt idx="3">
                  <c:v>2</c:v>
                </c:pt>
                <c:pt idx="4">
                  <c:v>4</c:v>
                </c:pt>
                <c:pt idx="5">
                  <c:v>2</c:v>
                </c:pt>
              </c:numCache>
            </c:numRef>
          </c:val>
          <c:extLst>
            <c:ext xmlns:c16="http://schemas.microsoft.com/office/drawing/2014/chart" uri="{C3380CC4-5D6E-409C-BE32-E72D297353CC}">
              <c16:uniqueId val="{00000000-ED39-46B8-ADA1-D69292A90427}"/>
            </c:ext>
          </c:extLst>
        </c:ser>
        <c:dLbls>
          <c:showLegendKey val="0"/>
          <c:showVal val="0"/>
          <c:showCatName val="0"/>
          <c:showSerName val="0"/>
          <c:showPercent val="0"/>
          <c:showBubbleSize val="0"/>
        </c:dLbls>
        <c:gapWidth val="219"/>
        <c:overlap val="-27"/>
        <c:axId val="533568992"/>
        <c:axId val="533572928"/>
      </c:barChart>
      <c:lineChart>
        <c:grouping val="standard"/>
        <c:varyColors val="0"/>
        <c:ser>
          <c:idx val="1"/>
          <c:order val="1"/>
          <c:tx>
            <c:strRef>
              <c:f>Feuil4!$C$162</c:f>
              <c:strCache>
                <c:ptCount val="1"/>
                <c:pt idx="0">
                  <c:v>Proportion %</c:v>
                </c:pt>
              </c:strCache>
            </c:strRef>
          </c:tx>
          <c:spPr>
            <a:ln w="28575" cap="rnd">
              <a:solidFill>
                <a:schemeClr val="accent2"/>
              </a:solidFill>
              <a:round/>
            </a:ln>
            <a:effectLst/>
          </c:spPr>
          <c:marker>
            <c:symbol val="none"/>
          </c:marker>
          <c:dLbls>
            <c:dLbl>
              <c:idx val="2"/>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39-46B8-ADA1-D69292A90427}"/>
                </c:ext>
              </c:extLst>
            </c:dLbl>
            <c:dLbl>
              <c:idx val="3"/>
              <c:layout>
                <c:manualLayout>
                  <c:x val="-5.5555555555556572E-3"/>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39-46B8-ADA1-D69292A90427}"/>
                </c:ext>
              </c:extLst>
            </c:dLbl>
            <c:dLbl>
              <c:idx val="4"/>
              <c:layout>
                <c:manualLayout>
                  <c:x val="8.3333333333333332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39-46B8-ADA1-D69292A90427}"/>
                </c:ext>
              </c:extLst>
            </c:dLbl>
            <c:dLbl>
              <c:idx val="5"/>
              <c:layout>
                <c:manualLayout>
                  <c:x val="2.777777777777676E-3"/>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39-46B8-ADA1-D69292A9042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Feuil4!$A$163:$A$168</c:f>
              <c:strCache>
                <c:ptCount val="6"/>
                <c:pt idx="0">
                  <c:v>Bimestrielle</c:v>
                </c:pt>
                <c:pt idx="1">
                  <c:v>Mensuelle</c:v>
                </c:pt>
                <c:pt idx="2">
                  <c:v>Trimestrielle</c:v>
                </c:pt>
                <c:pt idx="3">
                  <c:v>Semestrielle</c:v>
                </c:pt>
                <c:pt idx="4">
                  <c:v>Annuelle</c:v>
                </c:pt>
                <c:pt idx="5">
                  <c:v>Autres</c:v>
                </c:pt>
              </c:strCache>
            </c:strRef>
          </c:cat>
          <c:val>
            <c:numRef>
              <c:f>Feuil4!$C$163:$C$168</c:f>
              <c:numCache>
                <c:formatCode>0%</c:formatCode>
                <c:ptCount val="6"/>
                <c:pt idx="0">
                  <c:v>8.6956521739130432E-2</c:v>
                </c:pt>
                <c:pt idx="1">
                  <c:v>0.52173913043478259</c:v>
                </c:pt>
                <c:pt idx="2">
                  <c:v>4.3478260869565216E-2</c:v>
                </c:pt>
                <c:pt idx="3">
                  <c:v>8.6956521739130432E-2</c:v>
                </c:pt>
                <c:pt idx="4">
                  <c:v>0.17391304347826086</c:v>
                </c:pt>
                <c:pt idx="5">
                  <c:v>8.6956521739130432E-2</c:v>
                </c:pt>
              </c:numCache>
            </c:numRef>
          </c:val>
          <c:smooth val="0"/>
          <c:extLst>
            <c:ext xmlns:c16="http://schemas.microsoft.com/office/drawing/2014/chart" uri="{C3380CC4-5D6E-409C-BE32-E72D297353CC}">
              <c16:uniqueId val="{00000005-ED39-46B8-ADA1-D69292A90427}"/>
            </c:ext>
          </c:extLst>
        </c:ser>
        <c:dLbls>
          <c:showLegendKey val="0"/>
          <c:showVal val="0"/>
          <c:showCatName val="0"/>
          <c:showSerName val="0"/>
          <c:showPercent val="0"/>
          <c:showBubbleSize val="0"/>
        </c:dLbls>
        <c:marker val="1"/>
        <c:smooth val="0"/>
        <c:axId val="533568008"/>
        <c:axId val="533569648"/>
      </c:lineChart>
      <c:catAx>
        <c:axId val="53356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3572928"/>
        <c:crosses val="autoZero"/>
        <c:auto val="1"/>
        <c:lblAlgn val="ctr"/>
        <c:lblOffset val="100"/>
        <c:noMultiLvlLbl val="0"/>
      </c:catAx>
      <c:valAx>
        <c:axId val="53357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3568992"/>
        <c:crosses val="autoZero"/>
        <c:crossBetween val="between"/>
      </c:valAx>
      <c:valAx>
        <c:axId val="53356964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33568008"/>
        <c:crosses val="max"/>
        <c:crossBetween val="between"/>
      </c:valAx>
      <c:catAx>
        <c:axId val="533568008"/>
        <c:scaling>
          <c:orientation val="minMax"/>
        </c:scaling>
        <c:delete val="1"/>
        <c:axPos val="b"/>
        <c:numFmt formatCode="General" sourceLinked="1"/>
        <c:majorTickMark val="none"/>
        <c:minorTickMark val="none"/>
        <c:tickLblPos val="nextTo"/>
        <c:crossAx val="533569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a:solidFill>
                  <a:sysClr val="windowText" lastClr="000000"/>
                </a:solidFill>
                <a:latin typeface="Arial" panose="020B0604020202020204" pitchFamily="34" charset="0"/>
                <a:cs typeface="Arial" panose="020B0604020202020204" pitchFamily="34" charset="0"/>
              </a:rPr>
              <a:t>Respect fréquence des AG</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Feuil8!$A$44</c:f>
              <c:strCache>
                <c:ptCount val="1"/>
                <c:pt idx="0">
                  <c:v>Non</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Feuil8!$B$43:$D$43</c:f>
              <c:strCache>
                <c:ptCount val="3"/>
                <c:pt idx="0">
                  <c:v>Maradi</c:v>
                </c:pt>
                <c:pt idx="1">
                  <c:v>Tahoua</c:v>
                </c:pt>
                <c:pt idx="2">
                  <c:v>Zinder</c:v>
                </c:pt>
              </c:strCache>
            </c:strRef>
          </c:cat>
          <c:val>
            <c:numRef>
              <c:f>Feuil8!$B$44:$D$44</c:f>
              <c:numCache>
                <c:formatCode>0%</c:formatCode>
                <c:ptCount val="3"/>
                <c:pt idx="0">
                  <c:v>0</c:v>
                </c:pt>
                <c:pt idx="1">
                  <c:v>0.14285714285714285</c:v>
                </c:pt>
                <c:pt idx="2">
                  <c:v>0</c:v>
                </c:pt>
              </c:numCache>
            </c:numRef>
          </c:val>
          <c:extLst>
            <c:ext xmlns:c16="http://schemas.microsoft.com/office/drawing/2014/chart" uri="{C3380CC4-5D6E-409C-BE32-E72D297353CC}">
              <c16:uniqueId val="{00000000-222F-4FE6-A61D-79A8D6F31F09}"/>
            </c:ext>
          </c:extLst>
        </c:ser>
        <c:ser>
          <c:idx val="1"/>
          <c:order val="1"/>
          <c:tx>
            <c:strRef>
              <c:f>Feuil8!$A$45</c:f>
              <c:strCache>
                <c:ptCount val="1"/>
                <c:pt idx="0">
                  <c:v>Oui</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Feuil8!$B$43:$D$43</c:f>
              <c:strCache>
                <c:ptCount val="3"/>
                <c:pt idx="0">
                  <c:v>Maradi</c:v>
                </c:pt>
                <c:pt idx="1">
                  <c:v>Tahoua</c:v>
                </c:pt>
                <c:pt idx="2">
                  <c:v>Zinder</c:v>
                </c:pt>
              </c:strCache>
            </c:strRef>
          </c:cat>
          <c:val>
            <c:numRef>
              <c:f>Feuil8!$B$45:$D$45</c:f>
              <c:numCache>
                <c:formatCode>0%</c:formatCode>
                <c:ptCount val="3"/>
                <c:pt idx="0">
                  <c:v>1</c:v>
                </c:pt>
                <c:pt idx="1">
                  <c:v>0.8571428571428571</c:v>
                </c:pt>
                <c:pt idx="2">
                  <c:v>1</c:v>
                </c:pt>
              </c:numCache>
            </c:numRef>
          </c:val>
          <c:extLst>
            <c:ext xmlns:c16="http://schemas.microsoft.com/office/drawing/2014/chart" uri="{C3380CC4-5D6E-409C-BE32-E72D297353CC}">
              <c16:uniqueId val="{00000001-222F-4FE6-A61D-79A8D6F31F09}"/>
            </c:ext>
          </c:extLst>
        </c:ser>
        <c:ser>
          <c:idx val="2"/>
          <c:order val="2"/>
          <c:tx>
            <c:strRef>
              <c:f>Feuil8!$A$46</c:f>
              <c:strCache>
                <c:ptCount val="1"/>
                <c:pt idx="0">
                  <c:v>Total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Feuil8!$B$43:$D$43</c:f>
              <c:strCache>
                <c:ptCount val="3"/>
                <c:pt idx="0">
                  <c:v>Maradi</c:v>
                </c:pt>
                <c:pt idx="1">
                  <c:v>Tahoua</c:v>
                </c:pt>
                <c:pt idx="2">
                  <c:v>Zinder</c:v>
                </c:pt>
              </c:strCache>
            </c:strRef>
          </c:cat>
          <c:val>
            <c:numRef>
              <c:f>Feuil8!$B$46:$D$46</c:f>
            </c:numRef>
          </c:val>
          <c:extLst>
            <c:ext xmlns:c16="http://schemas.microsoft.com/office/drawing/2014/chart" uri="{C3380CC4-5D6E-409C-BE32-E72D297353CC}">
              <c16:uniqueId val="{00000002-222F-4FE6-A61D-79A8D6F31F09}"/>
            </c:ext>
          </c:extLst>
        </c:ser>
        <c:dLbls>
          <c:showLegendKey val="0"/>
          <c:showVal val="0"/>
          <c:showCatName val="0"/>
          <c:showSerName val="0"/>
          <c:showPercent val="0"/>
          <c:showBubbleSize val="0"/>
        </c:dLbls>
        <c:gapWidth val="100"/>
        <c:overlap val="-24"/>
        <c:axId val="507921976"/>
        <c:axId val="507919352"/>
      </c:barChart>
      <c:catAx>
        <c:axId val="507921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7919352"/>
        <c:crosses val="autoZero"/>
        <c:auto val="1"/>
        <c:lblAlgn val="ctr"/>
        <c:lblOffset val="100"/>
        <c:noMultiLvlLbl val="0"/>
      </c:catAx>
      <c:valAx>
        <c:axId val="50791935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792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Rédaction de PV des AG</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Feuil4!$J$104</c:f>
              <c:strCache>
                <c:ptCount val="1"/>
                <c:pt idx="0">
                  <c:v>Oui</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Feuil4!$I$105:$I$107</c:f>
              <c:strCache>
                <c:ptCount val="3"/>
                <c:pt idx="0">
                  <c:v>Maradi</c:v>
                </c:pt>
                <c:pt idx="1">
                  <c:v>Tahoua</c:v>
                </c:pt>
                <c:pt idx="2">
                  <c:v>Zinder</c:v>
                </c:pt>
              </c:strCache>
            </c:strRef>
          </c:cat>
          <c:val>
            <c:numRef>
              <c:f>Feuil4!$J$105:$J$107</c:f>
              <c:numCache>
                <c:formatCode>0%</c:formatCode>
                <c:ptCount val="3"/>
                <c:pt idx="0">
                  <c:v>0.625</c:v>
                </c:pt>
                <c:pt idx="1">
                  <c:v>0.625</c:v>
                </c:pt>
                <c:pt idx="2">
                  <c:v>0.875</c:v>
                </c:pt>
              </c:numCache>
            </c:numRef>
          </c:val>
          <c:extLst>
            <c:ext xmlns:c16="http://schemas.microsoft.com/office/drawing/2014/chart" uri="{C3380CC4-5D6E-409C-BE32-E72D297353CC}">
              <c16:uniqueId val="{00000000-7A66-46EA-B4A3-C58D8A1949AE}"/>
            </c:ext>
          </c:extLst>
        </c:ser>
        <c:ser>
          <c:idx val="1"/>
          <c:order val="1"/>
          <c:tx>
            <c:strRef>
              <c:f>Feuil4!$K$104</c:f>
              <c:strCache>
                <c:ptCount val="1"/>
                <c:pt idx="0">
                  <c:v>Non</c:v>
                </c:pt>
              </c:strCache>
            </c:strRef>
          </c:tx>
          <c:spPr>
            <a:solidFill>
              <a:srgbClr val="C0504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Feuil4!$I$105:$I$107</c:f>
              <c:strCache>
                <c:ptCount val="3"/>
                <c:pt idx="0">
                  <c:v>Maradi</c:v>
                </c:pt>
                <c:pt idx="1">
                  <c:v>Tahoua</c:v>
                </c:pt>
                <c:pt idx="2">
                  <c:v>Zinder</c:v>
                </c:pt>
              </c:strCache>
            </c:strRef>
          </c:cat>
          <c:val>
            <c:numRef>
              <c:f>Feuil4!$K$105:$K$107</c:f>
              <c:numCache>
                <c:formatCode>0%</c:formatCode>
                <c:ptCount val="3"/>
                <c:pt idx="0">
                  <c:v>0.37</c:v>
                </c:pt>
                <c:pt idx="1">
                  <c:v>0.37</c:v>
                </c:pt>
                <c:pt idx="2">
                  <c:v>0.12</c:v>
                </c:pt>
              </c:numCache>
            </c:numRef>
          </c:val>
          <c:extLst>
            <c:ext xmlns:c16="http://schemas.microsoft.com/office/drawing/2014/chart" uri="{C3380CC4-5D6E-409C-BE32-E72D297353CC}">
              <c16:uniqueId val="{00000001-7A66-46EA-B4A3-C58D8A1949AE}"/>
            </c:ext>
          </c:extLst>
        </c:ser>
        <c:dLbls>
          <c:showLegendKey val="0"/>
          <c:showVal val="0"/>
          <c:showCatName val="0"/>
          <c:showSerName val="0"/>
          <c:showPercent val="0"/>
          <c:showBubbleSize val="0"/>
        </c:dLbls>
        <c:gapWidth val="219"/>
        <c:overlap val="-27"/>
        <c:axId val="504996128"/>
        <c:axId val="504992520"/>
      </c:barChart>
      <c:catAx>
        <c:axId val="50499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4992520"/>
        <c:crosses val="autoZero"/>
        <c:auto val="1"/>
        <c:lblAlgn val="ctr"/>
        <c:lblOffset val="100"/>
        <c:noMultiLvlLbl val="0"/>
      </c:catAx>
      <c:valAx>
        <c:axId val="504992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499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a:t>Tenue des documents par les COGES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bar"/>
        <c:grouping val="clustered"/>
        <c:varyColors val="0"/>
        <c:ser>
          <c:idx val="0"/>
          <c:order val="0"/>
          <c:tx>
            <c:strRef>
              <c:f>Feuil8!$A$30</c:f>
              <c:strCache>
                <c:ptCount val="1"/>
                <c:pt idx="0">
                  <c:v>Bien_tenus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Feuil8!$B$29:$E$29</c:f>
              <c:strCache>
                <c:ptCount val="4"/>
                <c:pt idx="0">
                  <c:v>Cahier de distribution</c:v>
                </c:pt>
                <c:pt idx="1">
                  <c:v>Cahier de recouvrement</c:v>
                </c:pt>
                <c:pt idx="2">
                  <c:v>Cahier de gestion stock</c:v>
                </c:pt>
                <c:pt idx="3">
                  <c:v>Registre des membres</c:v>
                </c:pt>
              </c:strCache>
            </c:strRef>
          </c:cat>
          <c:val>
            <c:numRef>
              <c:f>Feuil8!$B$30:$E$30</c:f>
              <c:numCache>
                <c:formatCode>0%</c:formatCode>
                <c:ptCount val="4"/>
                <c:pt idx="0">
                  <c:v>0.61904761904761907</c:v>
                </c:pt>
                <c:pt idx="1">
                  <c:v>0.69565217391304346</c:v>
                </c:pt>
                <c:pt idx="2">
                  <c:v>0.7142857142857143</c:v>
                </c:pt>
                <c:pt idx="3">
                  <c:v>0.70833333333333337</c:v>
                </c:pt>
              </c:numCache>
            </c:numRef>
          </c:val>
          <c:extLst>
            <c:ext xmlns:c16="http://schemas.microsoft.com/office/drawing/2014/chart" uri="{C3380CC4-5D6E-409C-BE32-E72D297353CC}">
              <c16:uniqueId val="{00000000-BCD1-4B23-9D21-CE10B251A885}"/>
            </c:ext>
          </c:extLst>
        </c:ser>
        <c:ser>
          <c:idx val="1"/>
          <c:order val="1"/>
          <c:tx>
            <c:strRef>
              <c:f>Feuil8!$A$31</c:f>
              <c:strCache>
                <c:ptCount val="1"/>
                <c:pt idx="0">
                  <c:v>Moyennement_tenus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Feuil8!$B$29:$E$29</c:f>
              <c:strCache>
                <c:ptCount val="4"/>
                <c:pt idx="0">
                  <c:v>Cahier de distribution</c:v>
                </c:pt>
                <c:pt idx="1">
                  <c:v>Cahier de recouvrement</c:v>
                </c:pt>
                <c:pt idx="2">
                  <c:v>Cahier de gestion stock</c:v>
                </c:pt>
                <c:pt idx="3">
                  <c:v>Registre des membres</c:v>
                </c:pt>
              </c:strCache>
            </c:strRef>
          </c:cat>
          <c:val>
            <c:numRef>
              <c:f>Feuil8!$B$31:$E$31</c:f>
              <c:numCache>
                <c:formatCode>0%</c:formatCode>
                <c:ptCount val="4"/>
                <c:pt idx="0">
                  <c:v>0.33333333333333331</c:v>
                </c:pt>
                <c:pt idx="1">
                  <c:v>0.30434782608695654</c:v>
                </c:pt>
                <c:pt idx="2">
                  <c:v>0.23809523809523808</c:v>
                </c:pt>
                <c:pt idx="3">
                  <c:v>0.29166666666666669</c:v>
                </c:pt>
              </c:numCache>
            </c:numRef>
          </c:val>
          <c:extLst>
            <c:ext xmlns:c16="http://schemas.microsoft.com/office/drawing/2014/chart" uri="{C3380CC4-5D6E-409C-BE32-E72D297353CC}">
              <c16:uniqueId val="{00000001-BCD1-4B23-9D21-CE10B251A885}"/>
            </c:ext>
          </c:extLst>
        </c:ser>
        <c:ser>
          <c:idx val="2"/>
          <c:order val="2"/>
          <c:tx>
            <c:strRef>
              <c:f>Feuil8!$A$32</c:f>
              <c:strCache>
                <c:ptCount val="1"/>
                <c:pt idx="0">
                  <c:v>Pas_tenus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Feuil8!$B$29:$E$29</c:f>
              <c:strCache>
                <c:ptCount val="4"/>
                <c:pt idx="0">
                  <c:v>Cahier de distribution</c:v>
                </c:pt>
                <c:pt idx="1">
                  <c:v>Cahier de recouvrement</c:v>
                </c:pt>
                <c:pt idx="2">
                  <c:v>Cahier de gestion stock</c:v>
                </c:pt>
                <c:pt idx="3">
                  <c:v>Registre des membres</c:v>
                </c:pt>
              </c:strCache>
            </c:strRef>
          </c:cat>
          <c:val>
            <c:numRef>
              <c:f>Feuil8!$B$32:$E$32</c:f>
              <c:numCache>
                <c:formatCode>0%</c:formatCode>
                <c:ptCount val="4"/>
                <c:pt idx="0">
                  <c:v>4.7619047619047616E-2</c:v>
                </c:pt>
                <c:pt idx="1">
                  <c:v>0</c:v>
                </c:pt>
                <c:pt idx="2">
                  <c:v>4.7619047619047616E-2</c:v>
                </c:pt>
                <c:pt idx="3">
                  <c:v>0</c:v>
                </c:pt>
              </c:numCache>
            </c:numRef>
          </c:val>
          <c:extLst>
            <c:ext xmlns:c16="http://schemas.microsoft.com/office/drawing/2014/chart" uri="{C3380CC4-5D6E-409C-BE32-E72D297353CC}">
              <c16:uniqueId val="{00000002-BCD1-4B23-9D21-CE10B251A885}"/>
            </c:ext>
          </c:extLst>
        </c:ser>
        <c:ser>
          <c:idx val="3"/>
          <c:order val="3"/>
          <c:tx>
            <c:strRef>
              <c:f>Feuil8!$A$33</c:f>
              <c:strCache>
                <c:ptCount val="1"/>
                <c:pt idx="0">
                  <c:v>Total général</c:v>
                </c:pt>
              </c:strCache>
            </c:strRef>
          </c:tx>
          <c:spPr>
            <a:solidFill>
              <a:schemeClr val="accent4"/>
            </a:solidFill>
            <a:ln>
              <a:noFill/>
            </a:ln>
            <a:effectLst/>
          </c:spPr>
          <c:invertIfNegative val="0"/>
          <c:cat>
            <c:strRef>
              <c:f>Feuil8!$B$29:$E$29</c:f>
              <c:strCache>
                <c:ptCount val="4"/>
                <c:pt idx="0">
                  <c:v>Cahier de distribution</c:v>
                </c:pt>
                <c:pt idx="1">
                  <c:v>Cahier de recouvrement</c:v>
                </c:pt>
                <c:pt idx="2">
                  <c:v>Cahier de gestion stock</c:v>
                </c:pt>
                <c:pt idx="3">
                  <c:v>Registre des membres</c:v>
                </c:pt>
              </c:strCache>
            </c:strRef>
          </c:cat>
          <c:val>
            <c:numRef>
              <c:f>Feuil8!$B$33:$E$33</c:f>
            </c:numRef>
          </c:val>
          <c:extLst>
            <c:ext xmlns:c16="http://schemas.microsoft.com/office/drawing/2014/chart" uri="{C3380CC4-5D6E-409C-BE32-E72D297353CC}">
              <c16:uniqueId val="{00000003-BCD1-4B23-9D21-CE10B251A885}"/>
            </c:ext>
          </c:extLst>
        </c:ser>
        <c:dLbls>
          <c:showLegendKey val="0"/>
          <c:showVal val="0"/>
          <c:showCatName val="0"/>
          <c:showSerName val="0"/>
          <c:showPercent val="0"/>
          <c:showBubbleSize val="0"/>
        </c:dLbls>
        <c:gapWidth val="182"/>
        <c:axId val="558999920"/>
        <c:axId val="559006808"/>
      </c:barChart>
      <c:catAx>
        <c:axId val="55899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59006808"/>
        <c:crosses val="autoZero"/>
        <c:auto val="1"/>
        <c:lblAlgn val="ctr"/>
        <c:lblOffset val="100"/>
        <c:noMultiLvlLbl val="0"/>
      </c:catAx>
      <c:valAx>
        <c:axId val="559006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5899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fr-FR"/>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Niveau</a:t>
            </a:r>
            <a:r>
              <a:rPr lang="en-US" sz="1000" b="1" baseline="0">
                <a:solidFill>
                  <a:sysClr val="windowText" lastClr="000000"/>
                </a:solidFill>
                <a:latin typeface="Arial" panose="020B0604020202020204" pitchFamily="34" charset="0"/>
                <a:cs typeface="Arial" panose="020B0604020202020204" pitchFamily="34" charset="0"/>
              </a:rPr>
              <a:t> de satisfaction des membres de COGES GFS</a:t>
            </a:r>
            <a:endParaRPr lang="en-US"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Feuil8!$B$36</c:f>
              <c:strCache>
                <c:ptCount val="1"/>
                <c:pt idx="0">
                  <c:v>Nombre de Niveau_satisfaction</c:v>
                </c:pt>
              </c:strCache>
            </c:strRef>
          </c:tx>
          <c:spPr>
            <a:solidFill>
              <a:schemeClr val="accent1"/>
            </a:solidFill>
            <a:ln>
              <a:noFill/>
            </a:ln>
            <a:effectLst/>
          </c:spPr>
          <c:invertIfNegative val="0"/>
          <c:cat>
            <c:strRef>
              <c:f>Feuil8!$A$37:$A$39</c:f>
              <c:strCache>
                <c:ptCount val="3"/>
                <c:pt idx="0">
                  <c:v>Tres_satisfaite</c:v>
                </c:pt>
                <c:pt idx="1">
                  <c:v>Satisfaite</c:v>
                </c:pt>
                <c:pt idx="2">
                  <c:v>Peu_satisfaite</c:v>
                </c:pt>
              </c:strCache>
            </c:strRef>
          </c:cat>
          <c:val>
            <c:numRef>
              <c:f>Feuil8!$B$37:$B$39</c:f>
            </c:numRef>
          </c:val>
          <c:extLst>
            <c:ext xmlns:c16="http://schemas.microsoft.com/office/drawing/2014/chart" uri="{C3380CC4-5D6E-409C-BE32-E72D297353CC}">
              <c16:uniqueId val="{00000000-087D-4AB0-B69E-B50066C48FCC}"/>
            </c:ext>
          </c:extLst>
        </c:ser>
        <c:ser>
          <c:idx val="1"/>
          <c:order val="1"/>
          <c:tx>
            <c:strRef>
              <c:f>Feuil8!$C$36</c:f>
              <c:strCache>
                <c:ptCount val="1"/>
                <c:pt idx="0">
                  <c:v>Proportion %</c:v>
                </c:pt>
              </c:strCache>
            </c:strRef>
          </c:tx>
          <c:spPr>
            <a:solidFill>
              <a:schemeClr val="accent2"/>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087D-4AB0-B69E-B50066C48FCC}"/>
              </c:ext>
            </c:extLst>
          </c:dPt>
          <c:dPt>
            <c:idx val="1"/>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4-087D-4AB0-B69E-B50066C48FCC}"/>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6-087D-4AB0-B69E-B50066C48FCC}"/>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Feuil8!$A$37:$A$39</c:f>
              <c:strCache>
                <c:ptCount val="3"/>
                <c:pt idx="0">
                  <c:v>Tres_satisfaite</c:v>
                </c:pt>
                <c:pt idx="1">
                  <c:v>Satisfaite</c:v>
                </c:pt>
                <c:pt idx="2">
                  <c:v>Peu_satisfaite</c:v>
                </c:pt>
              </c:strCache>
            </c:strRef>
          </c:cat>
          <c:val>
            <c:numRef>
              <c:f>Feuil8!$C$37:$C$39</c:f>
              <c:numCache>
                <c:formatCode>0%</c:formatCode>
                <c:ptCount val="3"/>
                <c:pt idx="0">
                  <c:v>0.74</c:v>
                </c:pt>
                <c:pt idx="1">
                  <c:v>0.22</c:v>
                </c:pt>
                <c:pt idx="2">
                  <c:v>0.04</c:v>
                </c:pt>
              </c:numCache>
            </c:numRef>
          </c:val>
          <c:extLst>
            <c:ext xmlns:c16="http://schemas.microsoft.com/office/drawing/2014/chart" uri="{C3380CC4-5D6E-409C-BE32-E72D297353CC}">
              <c16:uniqueId val="{00000007-087D-4AB0-B69E-B50066C48FCC}"/>
            </c:ext>
          </c:extLst>
        </c:ser>
        <c:dLbls>
          <c:showLegendKey val="0"/>
          <c:showVal val="0"/>
          <c:showCatName val="0"/>
          <c:showSerName val="0"/>
          <c:showPercent val="0"/>
          <c:showBubbleSize val="0"/>
        </c:dLbls>
        <c:gapWidth val="219"/>
        <c:overlap val="-27"/>
        <c:axId val="502530944"/>
        <c:axId val="502531600"/>
      </c:barChart>
      <c:catAx>
        <c:axId val="50253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2531600"/>
        <c:crosses val="autoZero"/>
        <c:auto val="1"/>
        <c:lblAlgn val="ctr"/>
        <c:lblOffset val="100"/>
        <c:noMultiLvlLbl val="0"/>
      </c:catAx>
      <c:valAx>
        <c:axId val="502531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0253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Feuil9!$B$13</c:f>
              <c:strCache>
                <c:ptCount val="1"/>
                <c:pt idx="0">
                  <c:v>Type ménage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4AB-48F9-BAB7-DE760D40A2F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4AB-48F9-BAB7-DE760D40A2F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AB-48F9-BAB7-DE760D40A2F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AB-48F9-BAB7-DE760D40A2F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Feuil9!$A$14:$A$15</c:f>
              <c:strCache>
                <c:ptCount val="2"/>
                <c:pt idx="0">
                  <c:v>Monogame</c:v>
                </c:pt>
                <c:pt idx="1">
                  <c:v>Polygame</c:v>
                </c:pt>
              </c:strCache>
            </c:strRef>
          </c:cat>
          <c:val>
            <c:numRef>
              <c:f>Feuil9!$B$14:$B$15</c:f>
              <c:numCache>
                <c:formatCode>General</c:formatCode>
                <c:ptCount val="2"/>
                <c:pt idx="0">
                  <c:v>107</c:v>
                </c:pt>
                <c:pt idx="1">
                  <c:v>137</c:v>
                </c:pt>
              </c:numCache>
            </c:numRef>
          </c:val>
          <c:extLst>
            <c:ext xmlns:c16="http://schemas.microsoft.com/office/drawing/2014/chart" uri="{C3380CC4-5D6E-409C-BE32-E72D297353CC}">
              <c16:uniqueId val="{00000004-C4AB-48F9-BAB7-DE760D40A2F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Taille par type de ménage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Feuil9!$B$13</c:f>
              <c:strCache>
                <c:ptCount val="1"/>
                <c:pt idx="0">
                  <c:v>Type ménage</c:v>
                </c:pt>
              </c:strCache>
            </c:strRef>
          </c:tx>
          <c:spPr>
            <a:solidFill>
              <a:schemeClr val="accent1"/>
            </a:solidFill>
            <a:ln>
              <a:noFill/>
            </a:ln>
            <a:effectLst/>
            <a:sp3d/>
          </c:spPr>
          <c:invertIfNegative val="0"/>
          <c:cat>
            <c:strRef>
              <c:f>Feuil9!$A$14:$A$15</c:f>
              <c:strCache>
                <c:ptCount val="2"/>
                <c:pt idx="0">
                  <c:v>Monogame</c:v>
                </c:pt>
                <c:pt idx="1">
                  <c:v>Polygame</c:v>
                </c:pt>
              </c:strCache>
            </c:strRef>
          </c:cat>
          <c:val>
            <c:numRef>
              <c:f>Feuil9!$B$14:$B$15</c:f>
            </c:numRef>
          </c:val>
          <c:extLst>
            <c:ext xmlns:c16="http://schemas.microsoft.com/office/drawing/2014/chart" uri="{C3380CC4-5D6E-409C-BE32-E72D297353CC}">
              <c16:uniqueId val="{00000000-8E68-45C9-BBA0-1DCF616D3453}"/>
            </c:ext>
          </c:extLst>
        </c:ser>
        <c:ser>
          <c:idx val="1"/>
          <c:order val="1"/>
          <c:tx>
            <c:strRef>
              <c:f>Feuil9!$C$13</c:f>
              <c:strCache>
                <c:ptCount val="1"/>
                <c:pt idx="0">
                  <c:v>% type ménage</c:v>
                </c:pt>
              </c:strCache>
            </c:strRef>
          </c:tx>
          <c:spPr>
            <a:solidFill>
              <a:schemeClr val="accent2"/>
            </a:solidFill>
            <a:ln>
              <a:noFill/>
            </a:ln>
            <a:effectLst/>
            <a:sp3d/>
          </c:spPr>
          <c:invertIfNegative val="0"/>
          <c:cat>
            <c:strRef>
              <c:f>Feuil9!$A$14:$A$15</c:f>
              <c:strCache>
                <c:ptCount val="2"/>
                <c:pt idx="0">
                  <c:v>Monogame</c:v>
                </c:pt>
                <c:pt idx="1">
                  <c:v>Polygame</c:v>
                </c:pt>
              </c:strCache>
            </c:strRef>
          </c:cat>
          <c:val>
            <c:numRef>
              <c:f>Feuil9!$C$14:$C$15</c:f>
            </c:numRef>
          </c:val>
          <c:extLst>
            <c:ext xmlns:c16="http://schemas.microsoft.com/office/drawing/2014/chart" uri="{C3380CC4-5D6E-409C-BE32-E72D297353CC}">
              <c16:uniqueId val="{00000001-8E68-45C9-BBA0-1DCF616D3453}"/>
            </c:ext>
          </c:extLst>
        </c:ser>
        <c:ser>
          <c:idx val="2"/>
          <c:order val="2"/>
          <c:tx>
            <c:strRef>
              <c:f>Feuil9!$D$13</c:f>
              <c:strCache>
                <c:ptCount val="1"/>
                <c:pt idx="0">
                  <c:v>Taille ménage</c:v>
                </c:pt>
              </c:strCache>
            </c:strRef>
          </c:tx>
          <c:spPr>
            <a:solidFill>
              <a:schemeClr val="accent3"/>
            </a:solidFill>
            <a:ln>
              <a:noFill/>
            </a:ln>
            <a:effectLst/>
            <a:sp3d/>
          </c:spPr>
          <c:invertIfNegative val="0"/>
          <c:dPt>
            <c:idx val="0"/>
            <c:invertIfNegative val="0"/>
            <c:bubble3D val="0"/>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8100000" scaled="1"/>
                <a:tileRect/>
              </a:gradFill>
              <a:ln>
                <a:noFill/>
              </a:ln>
              <a:effectLst/>
              <a:sp3d/>
            </c:spPr>
            <c:extLst>
              <c:ext xmlns:c16="http://schemas.microsoft.com/office/drawing/2014/chart" uri="{C3380CC4-5D6E-409C-BE32-E72D297353CC}">
                <c16:uniqueId val="{00000003-8E68-45C9-BBA0-1DCF616D3453}"/>
              </c:ext>
            </c:extLst>
          </c:dPt>
          <c:dPt>
            <c:idx val="1"/>
            <c:invertIfNegative val="0"/>
            <c:bubble3D val="0"/>
            <c:spPr>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path path="circle">
                  <a:fillToRect l="50000" t="50000" r="50000" b="50000"/>
                </a:path>
                <a:tileRect/>
              </a:gradFill>
              <a:ln>
                <a:noFill/>
              </a:ln>
              <a:effectLst/>
              <a:sp3d/>
            </c:spPr>
            <c:extLst>
              <c:ext xmlns:c16="http://schemas.microsoft.com/office/drawing/2014/chart" uri="{C3380CC4-5D6E-409C-BE32-E72D297353CC}">
                <c16:uniqueId val="{00000005-8E68-45C9-BBA0-1DCF616D3453}"/>
              </c:ext>
            </c:extLst>
          </c:dPt>
          <c:dLbls>
            <c:dLbl>
              <c:idx val="0"/>
              <c:layout>
                <c:manualLayout>
                  <c:x val="0"/>
                  <c:y val="-8.796296296296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68-45C9-BBA0-1DCF616D3453}"/>
                </c:ext>
              </c:extLst>
            </c:dLbl>
            <c:dLbl>
              <c:idx val="1"/>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68-45C9-BBA0-1DCF616D345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Feuil9!$A$14:$A$15</c:f>
              <c:strCache>
                <c:ptCount val="2"/>
                <c:pt idx="0">
                  <c:v>Monogame</c:v>
                </c:pt>
                <c:pt idx="1">
                  <c:v>Polygame</c:v>
                </c:pt>
              </c:strCache>
            </c:strRef>
          </c:cat>
          <c:val>
            <c:numRef>
              <c:f>Feuil9!$D$14:$D$15</c:f>
              <c:numCache>
                <c:formatCode>General</c:formatCode>
                <c:ptCount val="2"/>
                <c:pt idx="0">
                  <c:v>982</c:v>
                </c:pt>
                <c:pt idx="1">
                  <c:v>2017</c:v>
                </c:pt>
              </c:numCache>
            </c:numRef>
          </c:val>
          <c:extLst>
            <c:ext xmlns:c16="http://schemas.microsoft.com/office/drawing/2014/chart" uri="{C3380CC4-5D6E-409C-BE32-E72D297353CC}">
              <c16:uniqueId val="{00000006-8E68-45C9-BBA0-1DCF616D3453}"/>
            </c:ext>
          </c:extLst>
        </c:ser>
        <c:dLbls>
          <c:showLegendKey val="0"/>
          <c:showVal val="0"/>
          <c:showCatName val="0"/>
          <c:showSerName val="0"/>
          <c:showPercent val="0"/>
          <c:showBubbleSize val="0"/>
        </c:dLbls>
        <c:gapWidth val="150"/>
        <c:shape val="box"/>
        <c:axId val="680403312"/>
        <c:axId val="680404296"/>
        <c:axId val="0"/>
      </c:bar3DChart>
      <c:catAx>
        <c:axId val="680403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80404296"/>
        <c:crosses val="autoZero"/>
        <c:auto val="1"/>
        <c:lblAlgn val="ctr"/>
        <c:lblOffset val="100"/>
        <c:noMultiLvlLbl val="0"/>
      </c:catAx>
      <c:valAx>
        <c:axId val="680404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68040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solidFill>
                  <a:sysClr val="windowText" lastClr="000000"/>
                </a:solidFill>
                <a:latin typeface="Arial" panose="020B0604020202020204" pitchFamily="34" charset="0"/>
                <a:cs typeface="Arial" panose="020B0604020202020204" pitchFamily="34" charset="0"/>
              </a:rPr>
              <a:t>Proportion des enfants de - 5ans/Région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Feuil1!$B$2</c:f>
              <c:strCache>
                <c:ptCount val="1"/>
                <c:pt idx="0">
                  <c:v>Moy. Personnes de ménage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Feuil1!$A$3:$A$14</c:f>
              <c:strCache>
                <c:ptCount val="4"/>
                <c:pt idx="0">
                  <c:v>Maradi</c:v>
                </c:pt>
                <c:pt idx="1">
                  <c:v>Tahoua</c:v>
                </c:pt>
                <c:pt idx="2">
                  <c:v>Zinder</c:v>
                </c:pt>
                <c:pt idx="3">
                  <c:v>Total général</c:v>
                </c:pt>
              </c:strCache>
            </c:strRef>
          </c:cat>
          <c:val>
            <c:numRef>
              <c:f>Feuil1!$B$3:$B$14</c:f>
              <c:numCache>
                <c:formatCode>General</c:formatCode>
                <c:ptCount val="4"/>
                <c:pt idx="0">
                  <c:v>16</c:v>
                </c:pt>
                <c:pt idx="1">
                  <c:v>11</c:v>
                </c:pt>
                <c:pt idx="2">
                  <c:v>10</c:v>
                </c:pt>
                <c:pt idx="3">
                  <c:v>12</c:v>
                </c:pt>
              </c:numCache>
            </c:numRef>
          </c:val>
          <c:extLst>
            <c:ext xmlns:c16="http://schemas.microsoft.com/office/drawing/2014/chart" uri="{C3380CC4-5D6E-409C-BE32-E72D297353CC}">
              <c16:uniqueId val="{00000000-11D1-4E76-8E39-0B54B0F2BE62}"/>
            </c:ext>
          </c:extLst>
        </c:ser>
        <c:ser>
          <c:idx val="1"/>
          <c:order val="1"/>
          <c:tx>
            <c:strRef>
              <c:f>Feuil1!$C$2</c:f>
              <c:strCache>
                <c:ptCount val="1"/>
                <c:pt idx="0">
                  <c:v>Moy. Enfants (- 5ans)</c:v>
                </c:pt>
              </c:strCache>
            </c:strRef>
          </c:tx>
          <c:spPr>
            <a:solidFill>
              <a:schemeClr val="accent2"/>
            </a:solidFill>
            <a:ln>
              <a:noFill/>
            </a:ln>
            <a:effectLst/>
          </c:spPr>
          <c:invertIfNegative val="0"/>
          <c:cat>
            <c:strRef>
              <c:f>Feuil1!$A$3:$A$14</c:f>
              <c:strCache>
                <c:ptCount val="4"/>
                <c:pt idx="0">
                  <c:v>Maradi</c:v>
                </c:pt>
                <c:pt idx="1">
                  <c:v>Tahoua</c:v>
                </c:pt>
                <c:pt idx="2">
                  <c:v>Zinder</c:v>
                </c:pt>
                <c:pt idx="3">
                  <c:v>Total général</c:v>
                </c:pt>
              </c:strCache>
            </c:strRef>
          </c:cat>
          <c:val>
            <c:numRef>
              <c:f>Feuil1!$C$3:$C$14</c:f>
            </c:numRef>
          </c:val>
          <c:extLst>
            <c:ext xmlns:c16="http://schemas.microsoft.com/office/drawing/2014/chart" uri="{C3380CC4-5D6E-409C-BE32-E72D297353CC}">
              <c16:uniqueId val="{00000001-11D1-4E76-8E39-0B54B0F2BE62}"/>
            </c:ext>
          </c:extLst>
        </c:ser>
        <c:dLbls>
          <c:showLegendKey val="0"/>
          <c:showVal val="0"/>
          <c:showCatName val="0"/>
          <c:showSerName val="0"/>
          <c:showPercent val="0"/>
          <c:showBubbleSize val="0"/>
        </c:dLbls>
        <c:gapWidth val="219"/>
        <c:overlap val="-27"/>
        <c:axId val="571221232"/>
        <c:axId val="448274152"/>
      </c:barChart>
      <c:lineChart>
        <c:grouping val="standard"/>
        <c:varyColors val="0"/>
        <c:ser>
          <c:idx val="2"/>
          <c:order val="2"/>
          <c:tx>
            <c:strRef>
              <c:f>Feuil1!$D$2</c:f>
              <c:strCache>
                <c:ptCount val="1"/>
                <c:pt idx="0">
                  <c:v>% Enfants -5 ans</c:v>
                </c:pt>
              </c:strCache>
            </c:strRef>
          </c:tx>
          <c:spPr>
            <a:ln w="28575" cap="rnd">
              <a:solidFill>
                <a:schemeClr val="accent3"/>
              </a:solidFill>
              <a:round/>
            </a:ln>
            <a:effectLst/>
          </c:spPr>
          <c:marker>
            <c:symbol val="none"/>
          </c:marker>
          <c:dLbls>
            <c:dLbl>
              <c:idx val="0"/>
              <c:layout>
                <c:manualLayout>
                  <c:x val="2.74122807017543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C9-42F9-92D7-234E5DCE0F97}"/>
                </c:ext>
              </c:extLst>
            </c:dLbl>
            <c:dLbl>
              <c:idx val="1"/>
              <c:layout>
                <c:manualLayout>
                  <c:x val="3.01535087719297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C9-42F9-92D7-234E5DCE0F97}"/>
                </c:ext>
              </c:extLst>
            </c:dLbl>
            <c:dLbl>
              <c:idx val="3"/>
              <c:layout>
                <c:manualLayout>
                  <c:x val="2.4671052631578948E-2"/>
                  <c:y val="-1.0384215991692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C9-42F9-92D7-234E5DCE0F9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Feuil1!$A$3:$A$14</c:f>
              <c:strCache>
                <c:ptCount val="4"/>
                <c:pt idx="0">
                  <c:v>Maradi</c:v>
                </c:pt>
                <c:pt idx="1">
                  <c:v>Tahoua</c:v>
                </c:pt>
                <c:pt idx="2">
                  <c:v>Zinder</c:v>
                </c:pt>
                <c:pt idx="3">
                  <c:v>Total général</c:v>
                </c:pt>
              </c:strCache>
            </c:strRef>
          </c:cat>
          <c:val>
            <c:numRef>
              <c:f>Feuil1!$D$3:$D$14</c:f>
              <c:numCache>
                <c:formatCode>0%</c:formatCode>
                <c:ptCount val="4"/>
                <c:pt idx="0">
                  <c:v>0.25</c:v>
                </c:pt>
                <c:pt idx="1">
                  <c:v>0.27272727272727271</c:v>
                </c:pt>
                <c:pt idx="2">
                  <c:v>0.3</c:v>
                </c:pt>
                <c:pt idx="3">
                  <c:v>0.25</c:v>
                </c:pt>
              </c:numCache>
            </c:numRef>
          </c:val>
          <c:smooth val="0"/>
          <c:extLst>
            <c:ext xmlns:c16="http://schemas.microsoft.com/office/drawing/2014/chart" uri="{C3380CC4-5D6E-409C-BE32-E72D297353CC}">
              <c16:uniqueId val="{00000002-11D1-4E76-8E39-0B54B0F2BE62}"/>
            </c:ext>
          </c:extLst>
        </c:ser>
        <c:dLbls>
          <c:showLegendKey val="0"/>
          <c:showVal val="0"/>
          <c:showCatName val="0"/>
          <c:showSerName val="0"/>
          <c:showPercent val="0"/>
          <c:showBubbleSize val="0"/>
        </c:dLbls>
        <c:marker val="1"/>
        <c:smooth val="0"/>
        <c:axId val="448280056"/>
        <c:axId val="448279072"/>
      </c:lineChart>
      <c:catAx>
        <c:axId val="57122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48274152"/>
        <c:crosses val="autoZero"/>
        <c:auto val="1"/>
        <c:lblAlgn val="ctr"/>
        <c:lblOffset val="100"/>
        <c:noMultiLvlLbl val="0"/>
      </c:catAx>
      <c:valAx>
        <c:axId val="448274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1221232"/>
        <c:crosses val="autoZero"/>
        <c:crossBetween val="between"/>
      </c:valAx>
      <c:valAx>
        <c:axId val="44827907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48280056"/>
        <c:crosses val="max"/>
        <c:crossBetween val="between"/>
      </c:valAx>
      <c:catAx>
        <c:axId val="448280056"/>
        <c:scaling>
          <c:orientation val="minMax"/>
        </c:scaling>
        <c:delete val="1"/>
        <c:axPos val="b"/>
        <c:numFmt formatCode="General" sourceLinked="1"/>
        <c:majorTickMark val="none"/>
        <c:minorTickMark val="none"/>
        <c:tickLblPos val="nextTo"/>
        <c:crossAx val="448279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fr-FR" sz="1000" b="1">
                <a:solidFill>
                  <a:sysClr val="windowText" lastClr="000000"/>
                </a:solidFill>
                <a:latin typeface="Arial" panose="020B0604020202020204" pitchFamily="34" charset="0"/>
                <a:cs typeface="Arial" panose="020B0604020202020204" pitchFamily="34" charset="0"/>
              </a:rPr>
              <a:t>Proportion des enfants</a:t>
            </a:r>
            <a:r>
              <a:rPr lang="fr-FR" sz="1000" b="1" baseline="0">
                <a:solidFill>
                  <a:sysClr val="windowText" lastClr="000000"/>
                </a:solidFill>
                <a:latin typeface="Arial" panose="020B0604020202020204" pitchFamily="34" charset="0"/>
                <a:cs typeface="Arial" panose="020B0604020202020204" pitchFamily="34" charset="0"/>
              </a:rPr>
              <a:t> de - 5 ans/PDE</a:t>
            </a:r>
            <a:endParaRPr lang="fr-FR"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Feuil1!$B$2</c:f>
              <c:strCache>
                <c:ptCount val="1"/>
                <c:pt idx="0">
                  <c:v>Moy. Personnes de ménage</c:v>
                </c:pt>
              </c:strCache>
            </c:strRef>
          </c:tx>
          <c:spPr>
            <a:solidFill>
              <a:schemeClr val="accent1"/>
            </a:solidFill>
            <a:ln>
              <a:noFill/>
            </a:ln>
            <a:effectLst/>
          </c:spPr>
          <c:invertIfNegative val="0"/>
          <c:cat>
            <c:strRef>
              <c:f>Feuil1!$A$3:$A$14</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Feuil1!$B$3:$B$14</c:f>
              <c:numCache>
                <c:formatCode>General</c:formatCode>
                <c:ptCount val="8"/>
                <c:pt idx="0">
                  <c:v>17</c:v>
                </c:pt>
                <c:pt idx="1">
                  <c:v>16</c:v>
                </c:pt>
                <c:pt idx="2">
                  <c:v>10</c:v>
                </c:pt>
                <c:pt idx="3">
                  <c:v>11</c:v>
                </c:pt>
                <c:pt idx="4">
                  <c:v>12</c:v>
                </c:pt>
                <c:pt idx="5">
                  <c:v>9</c:v>
                </c:pt>
                <c:pt idx="6">
                  <c:v>11</c:v>
                </c:pt>
                <c:pt idx="7">
                  <c:v>9</c:v>
                </c:pt>
              </c:numCache>
            </c:numRef>
          </c:val>
          <c:extLst>
            <c:ext xmlns:c16="http://schemas.microsoft.com/office/drawing/2014/chart" uri="{C3380CC4-5D6E-409C-BE32-E72D297353CC}">
              <c16:uniqueId val="{00000000-D10F-4E19-BAC3-D627DFA4781C}"/>
            </c:ext>
          </c:extLst>
        </c:ser>
        <c:ser>
          <c:idx val="1"/>
          <c:order val="1"/>
          <c:tx>
            <c:strRef>
              <c:f>Feuil1!$C$2</c:f>
              <c:strCache>
                <c:ptCount val="1"/>
                <c:pt idx="0">
                  <c:v>Moy. Enfants (- 5ans)</c:v>
                </c:pt>
              </c:strCache>
            </c:strRef>
          </c:tx>
          <c:spPr>
            <a:solidFill>
              <a:schemeClr val="accent2"/>
            </a:solidFill>
            <a:ln>
              <a:noFill/>
            </a:ln>
            <a:effectLst/>
          </c:spPr>
          <c:invertIfNegative val="0"/>
          <c:cat>
            <c:strRef>
              <c:f>Feuil1!$A$3:$A$14</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Feuil1!$C$3:$C$14</c:f>
            </c:numRef>
          </c:val>
          <c:extLst>
            <c:ext xmlns:c16="http://schemas.microsoft.com/office/drawing/2014/chart" uri="{C3380CC4-5D6E-409C-BE32-E72D297353CC}">
              <c16:uniqueId val="{00000001-D10F-4E19-BAC3-D627DFA4781C}"/>
            </c:ext>
          </c:extLst>
        </c:ser>
        <c:dLbls>
          <c:showLegendKey val="0"/>
          <c:showVal val="0"/>
          <c:showCatName val="0"/>
          <c:showSerName val="0"/>
          <c:showPercent val="0"/>
          <c:showBubbleSize val="0"/>
        </c:dLbls>
        <c:gapWidth val="219"/>
        <c:overlap val="-27"/>
        <c:axId val="571221232"/>
        <c:axId val="448274152"/>
      </c:barChart>
      <c:lineChart>
        <c:grouping val="standard"/>
        <c:varyColors val="0"/>
        <c:ser>
          <c:idx val="2"/>
          <c:order val="2"/>
          <c:tx>
            <c:strRef>
              <c:f>Feuil1!$D$2</c:f>
              <c:strCache>
                <c:ptCount val="1"/>
                <c:pt idx="0">
                  <c:v>% Enfants -5 ans</c:v>
                </c:pt>
              </c:strCache>
            </c:strRef>
          </c:tx>
          <c:spPr>
            <a:ln w="28575" cap="rnd">
              <a:solidFill>
                <a:schemeClr val="accent3"/>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87-4F8F-8283-34EA0BF9612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87-4F8F-8283-34EA0BF9612B}"/>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87-4F8F-8283-34EA0BF9612B}"/>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87-4F8F-8283-34EA0BF9612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Feuil1!$A$3:$A$14</c:f>
              <c:strCache>
                <c:ptCount val="8"/>
                <c:pt idx="0">
                  <c:v>Guidan_Roumdji</c:v>
                </c:pt>
                <c:pt idx="1">
                  <c:v>Tessaoua</c:v>
                </c:pt>
                <c:pt idx="2">
                  <c:v>Badaguichiri</c:v>
                </c:pt>
                <c:pt idx="3">
                  <c:v>Karofane</c:v>
                </c:pt>
                <c:pt idx="4">
                  <c:v>Tounfafi</c:v>
                </c:pt>
                <c:pt idx="5">
                  <c:v>Bande</c:v>
                </c:pt>
                <c:pt idx="6">
                  <c:v>Doungou</c:v>
                </c:pt>
                <c:pt idx="7">
                  <c:v>Guidimouni</c:v>
                </c:pt>
              </c:strCache>
            </c:strRef>
          </c:cat>
          <c:val>
            <c:numRef>
              <c:f>Feuil1!$D$3:$D$14</c:f>
              <c:numCache>
                <c:formatCode>0%</c:formatCode>
                <c:ptCount val="8"/>
                <c:pt idx="0">
                  <c:v>0.23529411764705882</c:v>
                </c:pt>
                <c:pt idx="1">
                  <c:v>0.25</c:v>
                </c:pt>
                <c:pt idx="2">
                  <c:v>0.3</c:v>
                </c:pt>
                <c:pt idx="3">
                  <c:v>0.18181818181818182</c:v>
                </c:pt>
                <c:pt idx="4">
                  <c:v>0.25</c:v>
                </c:pt>
                <c:pt idx="5">
                  <c:v>0.33333333333333331</c:v>
                </c:pt>
                <c:pt idx="6">
                  <c:v>0.27272727272727271</c:v>
                </c:pt>
                <c:pt idx="7">
                  <c:v>0.33333333333333331</c:v>
                </c:pt>
              </c:numCache>
            </c:numRef>
          </c:val>
          <c:smooth val="0"/>
          <c:extLst>
            <c:ext xmlns:c16="http://schemas.microsoft.com/office/drawing/2014/chart" uri="{C3380CC4-5D6E-409C-BE32-E72D297353CC}">
              <c16:uniqueId val="{00000002-D10F-4E19-BAC3-D627DFA4781C}"/>
            </c:ext>
          </c:extLst>
        </c:ser>
        <c:dLbls>
          <c:showLegendKey val="0"/>
          <c:showVal val="0"/>
          <c:showCatName val="0"/>
          <c:showSerName val="0"/>
          <c:showPercent val="0"/>
          <c:showBubbleSize val="0"/>
        </c:dLbls>
        <c:marker val="1"/>
        <c:smooth val="0"/>
        <c:axId val="448280056"/>
        <c:axId val="448279072"/>
      </c:lineChart>
      <c:catAx>
        <c:axId val="57122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48274152"/>
        <c:crosses val="autoZero"/>
        <c:auto val="1"/>
        <c:lblAlgn val="ctr"/>
        <c:lblOffset val="100"/>
        <c:noMultiLvlLbl val="0"/>
      </c:catAx>
      <c:valAx>
        <c:axId val="448274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71221232"/>
        <c:crosses val="autoZero"/>
        <c:crossBetween val="between"/>
      </c:valAx>
      <c:valAx>
        <c:axId val="44827907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48280056"/>
        <c:crosses val="max"/>
        <c:crossBetween val="between"/>
      </c:valAx>
      <c:catAx>
        <c:axId val="448280056"/>
        <c:scaling>
          <c:orientation val="minMax"/>
        </c:scaling>
        <c:delete val="1"/>
        <c:axPos val="b"/>
        <c:numFmt formatCode="General" sourceLinked="1"/>
        <c:majorTickMark val="none"/>
        <c:minorTickMark val="none"/>
        <c:tickLblPos val="nextTo"/>
        <c:crossAx val="448279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solidFill>
                  <a:sysClr val="windowText" lastClr="000000"/>
                </a:solidFill>
                <a:latin typeface="Arial" panose="020B0604020202020204" pitchFamily="34" charset="0"/>
                <a:cs typeface="Arial" panose="020B0604020202020204" pitchFamily="34" charset="0"/>
              </a:rPr>
              <a:t>Moyenne taille ménage et actif agricole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Feuil1!$B$129</c:f>
              <c:strCache>
                <c:ptCount val="1"/>
                <c:pt idx="0">
                  <c:v>Moy. Personnes menage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Feuil1!$A$130:$A$141</c:f>
              <c:strCache>
                <c:ptCount val="9"/>
                <c:pt idx="0">
                  <c:v>Guidan_Roumdji</c:v>
                </c:pt>
                <c:pt idx="1">
                  <c:v>Tessaoua</c:v>
                </c:pt>
                <c:pt idx="2">
                  <c:v>Badaguichiri</c:v>
                </c:pt>
                <c:pt idx="3">
                  <c:v>Karofane</c:v>
                </c:pt>
                <c:pt idx="4">
                  <c:v>Tounfafi</c:v>
                </c:pt>
                <c:pt idx="5">
                  <c:v>Bande</c:v>
                </c:pt>
                <c:pt idx="6">
                  <c:v>Doungou</c:v>
                </c:pt>
                <c:pt idx="7">
                  <c:v>Guidimouni</c:v>
                </c:pt>
                <c:pt idx="8">
                  <c:v>Total général</c:v>
                </c:pt>
              </c:strCache>
            </c:strRef>
          </c:cat>
          <c:val>
            <c:numRef>
              <c:f>Feuil1!$B$130:$B$141</c:f>
              <c:numCache>
                <c:formatCode>General</c:formatCode>
                <c:ptCount val="9"/>
                <c:pt idx="0">
                  <c:v>17</c:v>
                </c:pt>
                <c:pt idx="1">
                  <c:v>16</c:v>
                </c:pt>
                <c:pt idx="2">
                  <c:v>10</c:v>
                </c:pt>
                <c:pt idx="3">
                  <c:v>11</c:v>
                </c:pt>
                <c:pt idx="4">
                  <c:v>12</c:v>
                </c:pt>
                <c:pt idx="5">
                  <c:v>9</c:v>
                </c:pt>
                <c:pt idx="6">
                  <c:v>11</c:v>
                </c:pt>
                <c:pt idx="7">
                  <c:v>9</c:v>
                </c:pt>
                <c:pt idx="8">
                  <c:v>12</c:v>
                </c:pt>
              </c:numCache>
            </c:numRef>
          </c:val>
          <c:extLst>
            <c:ext xmlns:c16="http://schemas.microsoft.com/office/drawing/2014/chart" uri="{C3380CC4-5D6E-409C-BE32-E72D297353CC}">
              <c16:uniqueId val="{00000000-231F-4803-BDE1-F77CA23EFA73}"/>
            </c:ext>
          </c:extLst>
        </c:ser>
        <c:ser>
          <c:idx val="1"/>
          <c:order val="1"/>
          <c:tx>
            <c:strRef>
              <c:f>Feuil1!$C$129</c:f>
              <c:strCache>
                <c:ptCount val="1"/>
                <c:pt idx="0">
                  <c:v>Moy. Actif agricole menage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Feuil1!$A$130:$A$141</c:f>
              <c:strCache>
                <c:ptCount val="9"/>
                <c:pt idx="0">
                  <c:v>Guidan_Roumdji</c:v>
                </c:pt>
                <c:pt idx="1">
                  <c:v>Tessaoua</c:v>
                </c:pt>
                <c:pt idx="2">
                  <c:v>Badaguichiri</c:v>
                </c:pt>
                <c:pt idx="3">
                  <c:v>Karofane</c:v>
                </c:pt>
                <c:pt idx="4">
                  <c:v>Tounfafi</c:v>
                </c:pt>
                <c:pt idx="5">
                  <c:v>Bande</c:v>
                </c:pt>
                <c:pt idx="6">
                  <c:v>Doungou</c:v>
                </c:pt>
                <c:pt idx="7">
                  <c:v>Guidimouni</c:v>
                </c:pt>
                <c:pt idx="8">
                  <c:v>Total général</c:v>
                </c:pt>
              </c:strCache>
            </c:strRef>
          </c:cat>
          <c:val>
            <c:numRef>
              <c:f>Feuil1!$C$130:$C$141</c:f>
              <c:numCache>
                <c:formatCode>General</c:formatCode>
                <c:ptCount val="9"/>
                <c:pt idx="0">
                  <c:v>5</c:v>
                </c:pt>
                <c:pt idx="1">
                  <c:v>5</c:v>
                </c:pt>
                <c:pt idx="2">
                  <c:v>3</c:v>
                </c:pt>
                <c:pt idx="3">
                  <c:v>4</c:v>
                </c:pt>
                <c:pt idx="4">
                  <c:v>3</c:v>
                </c:pt>
                <c:pt idx="5">
                  <c:v>3</c:v>
                </c:pt>
                <c:pt idx="6">
                  <c:v>4</c:v>
                </c:pt>
                <c:pt idx="7">
                  <c:v>3</c:v>
                </c:pt>
                <c:pt idx="8">
                  <c:v>4</c:v>
                </c:pt>
              </c:numCache>
            </c:numRef>
          </c:val>
          <c:extLst>
            <c:ext xmlns:c16="http://schemas.microsoft.com/office/drawing/2014/chart" uri="{C3380CC4-5D6E-409C-BE32-E72D297353CC}">
              <c16:uniqueId val="{00000001-231F-4803-BDE1-F77CA23EFA73}"/>
            </c:ext>
          </c:extLst>
        </c:ser>
        <c:dLbls>
          <c:showLegendKey val="0"/>
          <c:showVal val="0"/>
          <c:showCatName val="0"/>
          <c:showSerName val="0"/>
          <c:showPercent val="0"/>
          <c:showBubbleSize val="0"/>
        </c:dLbls>
        <c:gapWidth val="219"/>
        <c:overlap val="-27"/>
        <c:axId val="492157872"/>
        <c:axId val="492152624"/>
      </c:barChart>
      <c:catAx>
        <c:axId val="49215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92152624"/>
        <c:crosses val="autoZero"/>
        <c:auto val="1"/>
        <c:lblAlgn val="ctr"/>
        <c:lblOffset val="100"/>
        <c:noMultiLvlLbl val="0"/>
      </c:catAx>
      <c:valAx>
        <c:axId val="49215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49215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Consentement</a:t>
            </a:r>
            <a:r>
              <a:rPr lang="en-US" sz="1000" b="1" baseline="0">
                <a:solidFill>
                  <a:sysClr val="windowText" lastClr="000000"/>
                </a:solidFill>
                <a:latin typeface="Arial" panose="020B0604020202020204" pitchFamily="34" charset="0"/>
                <a:cs typeface="Arial" panose="020B0604020202020204" pitchFamily="34" charset="0"/>
              </a:rPr>
              <a:t> des </a:t>
            </a:r>
            <a:r>
              <a:rPr lang="en-US" sz="1000" b="1">
                <a:solidFill>
                  <a:sysClr val="windowText" lastClr="000000"/>
                </a:solidFill>
                <a:latin typeface="Arial" panose="020B0604020202020204" pitchFamily="34" charset="0"/>
                <a:cs typeface="Arial" panose="020B0604020202020204" pitchFamily="34" charset="0"/>
              </a:rPr>
              <a:t>maris pour le prêt </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Feuil3!$B$1</c:f>
              <c:strCache>
                <c:ptCount val="1"/>
                <c:pt idx="0">
                  <c:v>Nombre de Consentement_maris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F3E-46BA-BAA4-0E4ED6F0BE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F3E-46BA-BAA4-0E4ED6F0BEF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Feuil3!$A$2:$A$4</c:f>
              <c:strCache>
                <c:ptCount val="2"/>
                <c:pt idx="0">
                  <c:v>Tous les chefs ménages</c:v>
                </c:pt>
                <c:pt idx="1">
                  <c:v>Une Partie des chefs menages</c:v>
                </c:pt>
              </c:strCache>
            </c:strRef>
          </c:cat>
          <c:val>
            <c:numRef>
              <c:f>Feuil3!$B$2:$B$4</c:f>
              <c:numCache>
                <c:formatCode>General</c:formatCode>
                <c:ptCount val="2"/>
                <c:pt idx="0">
                  <c:v>23</c:v>
                </c:pt>
                <c:pt idx="1">
                  <c:v>1</c:v>
                </c:pt>
              </c:numCache>
            </c:numRef>
          </c:val>
          <c:extLst>
            <c:ext xmlns:c16="http://schemas.microsoft.com/office/drawing/2014/chart" uri="{C3380CC4-5D6E-409C-BE32-E72D297353CC}">
              <c16:uniqueId val="{00000004-5F3E-46BA-BAA4-0E4ED6F0BEF1}"/>
            </c:ext>
          </c:extLst>
        </c:ser>
        <c:ser>
          <c:idx val="1"/>
          <c:order val="1"/>
          <c:tx>
            <c:strRef>
              <c:f>Feuil3!$C$1</c:f>
              <c:strCache>
                <c:ptCount val="1"/>
                <c:pt idx="0">
                  <c:v>Proportion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5F3E-46BA-BAA4-0E4ED6F0BE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5F3E-46BA-BAA4-0E4ED6F0BEF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Feuil3!$A$2:$A$4</c:f>
              <c:strCache>
                <c:ptCount val="2"/>
                <c:pt idx="0">
                  <c:v>Tous les chefs ménages</c:v>
                </c:pt>
                <c:pt idx="1">
                  <c:v>Une Partie des chefs menages</c:v>
                </c:pt>
              </c:strCache>
            </c:strRef>
          </c:cat>
          <c:val>
            <c:numRef>
              <c:f>Feuil3!$C$2:$C$4</c:f>
              <c:numCache>
                <c:formatCode>0%</c:formatCode>
                <c:ptCount val="2"/>
                <c:pt idx="0">
                  <c:v>0.95833333333333337</c:v>
                </c:pt>
                <c:pt idx="1">
                  <c:v>4.1666666666666664E-2</c:v>
                </c:pt>
              </c:numCache>
            </c:numRef>
          </c:val>
          <c:extLst>
            <c:ext xmlns:c16="http://schemas.microsoft.com/office/drawing/2014/chart" uri="{C3380CC4-5D6E-409C-BE32-E72D297353CC}">
              <c16:uniqueId val="{00000009-5F3E-46BA-BAA4-0E4ED6F0BEF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5B3002-6DE9-43A0-BE65-5AEA67FD1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46</Pages>
  <Words>10904</Words>
  <Characters>59973</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Coordonnateur-Mi</cp:lastModifiedBy>
  <cp:revision>3</cp:revision>
  <cp:lastPrinted>2018-02-09T15:55:00Z</cp:lastPrinted>
  <dcterms:created xsi:type="dcterms:W3CDTF">2022-03-28T12:35:00Z</dcterms:created>
  <dcterms:modified xsi:type="dcterms:W3CDTF">2022-10-08T10:11:00Z</dcterms:modified>
</cp:coreProperties>
</file>